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F5273">
      <w:pPr>
        <w:jc w:val="center"/>
        <w:rPr>
          <w:rFonts w:ascii="宋体" w:hAnsi="宋体" w:eastAsia="宋体" w:cs="Arial"/>
          <w:b/>
          <w:bCs/>
          <w:color w:val="auto"/>
          <w:sz w:val="36"/>
          <w:szCs w:val="36"/>
          <w:highlight w:val="none"/>
        </w:rPr>
      </w:pPr>
    </w:p>
    <w:p w14:paraId="21F755AE">
      <w:pPr>
        <w:jc w:val="center"/>
        <w:rPr>
          <w:rFonts w:ascii="宋体" w:hAnsi="宋体" w:eastAsia="宋体" w:cs="Arial"/>
          <w:b/>
          <w:bCs/>
          <w:color w:val="auto"/>
          <w:sz w:val="36"/>
          <w:szCs w:val="36"/>
          <w:highlight w:val="none"/>
        </w:rPr>
      </w:pPr>
    </w:p>
    <w:p w14:paraId="440C6B2B">
      <w:pPr>
        <w:jc w:val="center"/>
        <w:rPr>
          <w:rFonts w:hint="eastAsia" w:ascii="方正小标宋简体" w:hAnsi="方正小标宋简体" w:eastAsia="方正小标宋简体" w:cs="方正小标宋简体"/>
          <w:b/>
          <w:bCs/>
          <w:color w:val="auto"/>
          <w:kern w:val="0"/>
          <w:sz w:val="52"/>
          <w:szCs w:val="52"/>
          <w:highlight w:val="none"/>
          <w:lang w:val="en-US" w:eastAsia="zh-CN" w:bidi="ar"/>
        </w:rPr>
      </w:pPr>
    </w:p>
    <w:p w14:paraId="24EF2272">
      <w:pPr>
        <w:pStyle w:val="5"/>
        <w:keepNext w:val="0"/>
        <w:keepLines w:val="0"/>
        <w:widowControl/>
        <w:suppressLineNumbers w:val="0"/>
        <w:shd w:val="clear" w:fill="FFFFFF"/>
        <w:spacing w:before="0" w:beforeAutospacing="0" w:after="0" w:afterAutospacing="0" w:line="21" w:lineRule="atLeast"/>
        <w:ind w:left="0" w:leftChars="0" w:right="0" w:firstLine="0" w:firstLineChars="0"/>
        <w:jc w:val="center"/>
        <w:rPr>
          <w:rFonts w:hint="eastAsia" w:ascii="方正小标宋简体" w:hAnsi="方正小标宋简体" w:eastAsia="方正小标宋简体" w:cs="方正小标宋简体"/>
          <w:color w:val="auto"/>
          <w:sz w:val="52"/>
          <w:szCs w:val="52"/>
          <w:highlight w:val="none"/>
          <w:lang w:val="en-US" w:eastAsia="zh-CN"/>
        </w:rPr>
      </w:pPr>
      <w:r>
        <w:rPr>
          <w:rFonts w:hint="default" w:ascii="方正小标宋简体" w:hAnsi="方正小标宋简体" w:eastAsia="方正小标宋简体" w:cs="方正小标宋简体"/>
          <w:b/>
          <w:bCs/>
          <w:color w:val="auto"/>
          <w:kern w:val="0"/>
          <w:sz w:val="52"/>
          <w:szCs w:val="52"/>
          <w:highlight w:val="none"/>
          <w:lang w:val="en-US" w:eastAsia="zh-CN" w:bidi="ar"/>
        </w:rPr>
        <w:t>巴音布鲁克景区旅</w:t>
      </w:r>
      <w:bookmarkStart w:id="14" w:name="_GoBack"/>
      <w:bookmarkEnd w:id="14"/>
      <w:r>
        <w:rPr>
          <w:rFonts w:hint="default" w:ascii="方正小标宋简体" w:hAnsi="方正小标宋简体" w:eastAsia="方正小标宋简体" w:cs="方正小标宋简体"/>
          <w:b/>
          <w:bCs/>
          <w:color w:val="auto"/>
          <w:kern w:val="0"/>
          <w:sz w:val="52"/>
          <w:szCs w:val="52"/>
          <w:highlight w:val="none"/>
          <w:lang w:val="en-US" w:eastAsia="zh-CN" w:bidi="ar"/>
        </w:rPr>
        <w:t>游新景点（六个新景点）配套附属设施建设项目、全域旅游二期林草征占用费用</w:t>
      </w:r>
      <w:r>
        <w:rPr>
          <w:rFonts w:hint="eastAsia" w:ascii="方正小标宋简体" w:hAnsi="方正小标宋简体" w:eastAsia="方正小标宋简体" w:cs="方正小标宋简体"/>
          <w:color w:val="auto"/>
          <w:sz w:val="52"/>
          <w:szCs w:val="52"/>
          <w:highlight w:val="none"/>
          <w:lang w:val="en-US" w:eastAsia="zh-CN"/>
        </w:rPr>
        <w:t>项目支出</w:t>
      </w:r>
    </w:p>
    <w:p w14:paraId="5A49326C">
      <w:pPr>
        <w:pStyle w:val="5"/>
        <w:keepNext w:val="0"/>
        <w:keepLines w:val="0"/>
        <w:widowControl/>
        <w:suppressLineNumbers w:val="0"/>
        <w:shd w:val="clear" w:fill="FFFFFF"/>
        <w:spacing w:before="0" w:beforeAutospacing="0" w:after="0" w:afterAutospacing="0" w:line="21" w:lineRule="atLeast"/>
        <w:ind w:left="0" w:leftChars="0" w:right="0" w:firstLine="0" w:firstLineChars="0"/>
        <w:jc w:val="center"/>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绩效评价报告</w:t>
      </w:r>
    </w:p>
    <w:p w14:paraId="496A1DAC">
      <w:pPr>
        <w:pStyle w:val="2"/>
        <w:rPr>
          <w:rFonts w:hint="eastAsia"/>
          <w:color w:val="auto"/>
          <w:highlight w:val="none"/>
          <w:lang w:val="en-US" w:eastAsia="zh-CN"/>
        </w:rPr>
      </w:pPr>
    </w:p>
    <w:p w14:paraId="24A39C6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62DA429D">
      <w:pPr>
        <w:spacing w:line="240" w:lineRule="atLeast"/>
        <w:jc w:val="center"/>
        <w:rPr>
          <w:rFonts w:ascii="宋体" w:hAnsi="宋体" w:eastAsia="宋体" w:cs="Arial"/>
          <w:b/>
          <w:bCs/>
          <w:color w:val="auto"/>
          <w:sz w:val="36"/>
          <w:szCs w:val="36"/>
          <w:highlight w:val="none"/>
        </w:rPr>
      </w:pPr>
    </w:p>
    <w:p w14:paraId="107E4780">
      <w:pPr>
        <w:spacing w:line="240" w:lineRule="atLeast"/>
        <w:jc w:val="center"/>
        <w:rPr>
          <w:rFonts w:ascii="宋体" w:hAnsi="宋体" w:eastAsia="宋体" w:cs="Arial"/>
          <w:b/>
          <w:bCs/>
          <w:color w:val="auto"/>
          <w:sz w:val="36"/>
          <w:szCs w:val="36"/>
          <w:highlight w:val="none"/>
        </w:rPr>
      </w:pPr>
    </w:p>
    <w:p w14:paraId="748471B3">
      <w:pPr>
        <w:spacing w:line="240" w:lineRule="atLeast"/>
        <w:ind w:left="0" w:leftChars="0" w:firstLine="0" w:firstLineChars="0"/>
        <w:jc w:val="both"/>
        <w:rPr>
          <w:rFonts w:ascii="宋体" w:hAnsi="宋体" w:eastAsia="宋体" w:cs="Arial"/>
          <w:b/>
          <w:bCs/>
          <w:color w:val="auto"/>
          <w:sz w:val="36"/>
          <w:szCs w:val="36"/>
          <w:highlight w:val="none"/>
        </w:rPr>
      </w:pPr>
    </w:p>
    <w:p w14:paraId="410D57A1">
      <w:pPr>
        <w:spacing w:line="240" w:lineRule="atLeast"/>
        <w:jc w:val="center"/>
        <w:rPr>
          <w:rFonts w:ascii="宋体" w:hAnsi="宋体" w:eastAsia="宋体" w:cs="Arial"/>
          <w:b/>
          <w:bCs/>
          <w:color w:val="auto"/>
          <w:sz w:val="36"/>
          <w:szCs w:val="36"/>
          <w:highlight w:val="none"/>
        </w:rPr>
      </w:pPr>
    </w:p>
    <w:p w14:paraId="4175B24B">
      <w:pPr>
        <w:spacing w:line="240" w:lineRule="auto"/>
        <w:jc w:val="center"/>
        <w:rPr>
          <w:rFonts w:ascii="宋体" w:hAnsi="宋体" w:eastAsia="宋体" w:cs="Arial"/>
          <w:b/>
          <w:bCs/>
          <w:color w:val="auto"/>
          <w:sz w:val="36"/>
          <w:szCs w:val="36"/>
          <w:highlight w:val="none"/>
        </w:rPr>
      </w:pPr>
    </w:p>
    <w:p w14:paraId="4E3F0664">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项目名称：</w:t>
      </w:r>
      <w:r>
        <w:rPr>
          <w:rFonts w:hint="default" w:ascii="黑体" w:eastAsia="黑体"/>
          <w:color w:val="auto"/>
          <w:sz w:val="30"/>
          <w:szCs w:val="30"/>
          <w:highlight w:val="none"/>
          <w:lang w:eastAsia="zh-CN"/>
        </w:rPr>
        <w:t>巴音布鲁克景区旅游新景点（六个新景点）配套附属设施建设项目、全域旅游二期林草征占用费用</w:t>
      </w:r>
      <w:r>
        <w:rPr>
          <w:rFonts w:hint="eastAsia" w:ascii="黑体" w:eastAsia="黑体"/>
          <w:color w:val="auto"/>
          <w:sz w:val="30"/>
          <w:szCs w:val="30"/>
          <w:highlight w:val="none"/>
          <w:lang w:eastAsia="zh-CN"/>
        </w:rPr>
        <w:t>项目</w:t>
      </w:r>
    </w:p>
    <w:p w14:paraId="4697503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和静县巴音布鲁克景区管理委员会</w:t>
      </w:r>
    </w:p>
    <w:p w14:paraId="05682C1F">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巴图包力德</w:t>
      </w:r>
    </w:p>
    <w:p w14:paraId="20204261">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598A2D4C">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b/>
          <w:bCs/>
          <w:color w:val="auto"/>
          <w:sz w:val="32"/>
          <w:szCs w:val="28"/>
          <w:highlight w:val="none"/>
        </w:rPr>
      </w:pPr>
      <w:r>
        <w:rPr>
          <w:rFonts w:hint="default" w:ascii="宋体" w:hAnsi="宋体" w:eastAsia="宋体" w:cs="宋体"/>
          <w:b/>
          <w:bCs/>
          <w:color w:val="auto"/>
          <w:sz w:val="32"/>
          <w:szCs w:val="28"/>
          <w:highlight w:val="none"/>
        </w:rPr>
        <w:t>巴音布鲁克景区旅游新景点（六个新景点）配套附属设施建设项目、全域旅游二期林草征占用费用</w:t>
      </w:r>
      <w:r>
        <w:rPr>
          <w:rFonts w:hint="eastAsia"/>
          <w:b/>
          <w:bCs/>
          <w:color w:val="auto"/>
          <w:sz w:val="32"/>
          <w:szCs w:val="28"/>
          <w:highlight w:val="none"/>
        </w:rPr>
        <w:t>项目支出绩效评价报告</w:t>
      </w:r>
    </w:p>
    <w:p w14:paraId="74D5880F">
      <w:pPr>
        <w:pStyle w:val="3"/>
        <w:ind w:firstLine="643"/>
        <w:rPr>
          <w:color w:val="auto"/>
          <w:highlight w:val="none"/>
        </w:rPr>
      </w:pPr>
      <w:r>
        <w:rPr>
          <w:rFonts w:hint="eastAsia"/>
          <w:color w:val="auto"/>
          <w:highlight w:val="none"/>
        </w:rPr>
        <w:t>一、基本情况</w:t>
      </w:r>
    </w:p>
    <w:p w14:paraId="40D7DFF7">
      <w:pPr>
        <w:pStyle w:val="4"/>
        <w:ind w:firstLine="643"/>
        <w:rPr>
          <w:color w:val="auto"/>
          <w:highlight w:val="none"/>
        </w:rPr>
      </w:pPr>
      <w:r>
        <w:rPr>
          <w:rFonts w:hint="eastAsia"/>
          <w:color w:val="auto"/>
          <w:highlight w:val="none"/>
        </w:rPr>
        <w:t>（一）项目概况</w:t>
      </w:r>
    </w:p>
    <w:p w14:paraId="4FEF680C">
      <w:pPr>
        <w:pStyle w:val="2"/>
        <w:ind w:firstLine="562"/>
        <w:rPr>
          <w:color w:val="auto"/>
          <w:highlight w:val="none"/>
        </w:rPr>
      </w:pPr>
      <w:r>
        <w:rPr>
          <w:rFonts w:hint="eastAsia"/>
          <w:color w:val="auto"/>
          <w:highlight w:val="none"/>
        </w:rPr>
        <w:t>1.项目背景</w:t>
      </w:r>
    </w:p>
    <w:p w14:paraId="5A781F25">
      <w:pPr>
        <w:ind w:firstLine="560"/>
        <w:rPr>
          <w:rFonts w:hint="eastAsia"/>
          <w:color w:val="auto"/>
          <w:highlight w:val="none"/>
          <w:lang w:val="en-US" w:eastAsia="zh-CN"/>
        </w:rPr>
      </w:pPr>
      <w:r>
        <w:rPr>
          <w:rFonts w:hint="eastAsia"/>
          <w:color w:val="auto"/>
          <w:highlight w:val="none"/>
          <w:lang w:val="en-US" w:eastAsia="zh-CN"/>
        </w:rPr>
        <w:t>巴音布鲁克景区是国家5A级景区，位于新疆巴音郭楞蒙古自治州和静县西北部、地处天山中部南麓腹地，中心地理坐标北纬42°47′53″，东经84°09′50″。总面积约1259.47平方千米。景区以天山高位大型山间盆地中以高山草甸草原和高寒沼泽湿地生态系统为背景，以开都河上游河曲、沼泽湿地为主体的自然景观旅游区。随自治区党委部署旅游兴疆战略，景区游客量呈直线上涨趋势，大大促进了，我县旅游经济发展，但是随着游客量增长，游客需求与景区基础设施条件与游客服务质量之间的矛盾日益突出，景区基础设施条件及亟改善，旅游服务质量也急需提升。</w:t>
      </w:r>
    </w:p>
    <w:p w14:paraId="111646A6">
      <w:pPr>
        <w:pStyle w:val="2"/>
        <w:ind w:firstLine="562"/>
        <w:rPr>
          <w:color w:val="auto"/>
          <w:highlight w:val="none"/>
        </w:rPr>
      </w:pPr>
      <w:r>
        <w:rPr>
          <w:rFonts w:hint="eastAsia"/>
          <w:color w:val="auto"/>
          <w:highlight w:val="none"/>
        </w:rPr>
        <w:t>2.主要内容</w:t>
      </w:r>
    </w:p>
    <w:p w14:paraId="37E41C7D">
      <w:pPr>
        <w:pStyle w:val="5"/>
        <w:keepNext w:val="0"/>
        <w:keepLines w:val="0"/>
        <w:widowControl/>
        <w:suppressLineNumbers w:val="0"/>
        <w:shd w:val="clear" w:fill="FFFFFF"/>
        <w:spacing w:before="0" w:beforeAutospacing="0" w:after="0" w:afterAutospacing="0" w:line="21" w:lineRule="atLeast"/>
        <w:ind w:left="0" w:right="0" w:firstLine="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项目名称：</w:t>
      </w:r>
      <w:r>
        <w:rPr>
          <w:rFonts w:hint="default" w:ascii="仿宋_GB2312" w:hAnsi="仿宋_GB2312" w:eastAsia="仿宋_GB2312" w:cs="Times New Roman"/>
          <w:b w:val="0"/>
          <w:bCs w:val="0"/>
          <w:color w:val="auto"/>
          <w:kern w:val="2"/>
          <w:sz w:val="28"/>
          <w:szCs w:val="24"/>
          <w:highlight w:val="none"/>
          <w:lang w:val="en-US" w:eastAsia="zh-CN" w:bidi="ar-SA"/>
        </w:rPr>
        <w:t>巴音布鲁克景区旅游新景点（六个新景点）配套附属设施建设项目、全域旅游二期林草征占用费用</w:t>
      </w:r>
      <w:r>
        <w:rPr>
          <w:rFonts w:hint="eastAsia" w:ascii="仿宋_GB2312" w:hAnsi="仿宋_GB2312" w:eastAsia="仿宋_GB2312" w:cs="Times New Roman"/>
          <w:b w:val="0"/>
          <w:bCs w:val="0"/>
          <w:color w:val="auto"/>
          <w:kern w:val="2"/>
          <w:sz w:val="28"/>
          <w:szCs w:val="24"/>
          <w:highlight w:val="none"/>
          <w:lang w:val="en-US" w:eastAsia="zh-CN" w:bidi="ar-SA"/>
        </w:rPr>
        <w:t>项目</w:t>
      </w:r>
    </w:p>
    <w:p w14:paraId="4DFF7013">
      <w:pPr>
        <w:ind w:firstLine="560"/>
        <w:rPr>
          <w:color w:val="auto"/>
          <w:highlight w:val="none"/>
        </w:rPr>
      </w:pPr>
      <w:r>
        <w:rPr>
          <w:rFonts w:hint="eastAsia"/>
          <w:color w:val="auto"/>
          <w:highlight w:val="none"/>
          <w:lang w:val="en-US" w:eastAsia="zh-CN"/>
        </w:rPr>
        <w:t xml:space="preserve">项目主要内容：巴音布鲁克景区旅游新景点（六个新景点）配套附属设施建设项目林草补偿234.6万元、全域旅游二期林草征占用费用220.47万元，其他前期费用144.93万元。 </w:t>
      </w:r>
    </w:p>
    <w:p w14:paraId="0EE8EBF5">
      <w:pPr>
        <w:pStyle w:val="2"/>
        <w:ind w:firstLine="562"/>
        <w:jc w:val="left"/>
        <w:rPr>
          <w:color w:val="auto"/>
          <w:highlight w:val="none"/>
        </w:rPr>
      </w:pPr>
      <w:r>
        <w:rPr>
          <w:rFonts w:hint="eastAsia"/>
          <w:color w:val="auto"/>
          <w:highlight w:val="none"/>
        </w:rPr>
        <w:t>3.实施情况</w:t>
      </w:r>
    </w:p>
    <w:p w14:paraId="5BD78F89">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和静县巴音布鲁克景区管理委会</w:t>
      </w:r>
      <w:r>
        <w:rPr>
          <w:color w:val="auto"/>
          <w:highlight w:val="none"/>
        </w:rPr>
        <w:t>。</w:t>
      </w:r>
    </w:p>
    <w:p w14:paraId="33491691">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E8DED4A">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eastAsia="zh-CN"/>
        </w:rPr>
        <w:t>《关于公布自治区征收农用地区片综合地价标准的通知》(新自然资规[2020]4号)、和静县人民政府文件《和静县关于公布和静县征收农用地区片综合地价标准的通知》(静政发[2020]85号)、新疆维吾尔自治区国土资源厅文件(新国土资发[2009]131号)</w:t>
      </w:r>
      <w:r>
        <w:rPr>
          <w:rFonts w:hint="eastAsia"/>
          <w:color w:val="auto"/>
          <w:highlight w:val="none"/>
          <w:lang w:val="en-US" w:eastAsia="zh-CN"/>
        </w:rPr>
        <w:t>相关要求</w:t>
      </w:r>
      <w:r>
        <w:rPr>
          <w:rFonts w:hint="eastAsia"/>
          <w:color w:val="auto"/>
          <w:highlight w:val="none"/>
        </w:rPr>
        <w:t>，</w:t>
      </w:r>
      <w:r>
        <w:rPr>
          <w:rFonts w:hint="eastAsia"/>
          <w:color w:val="auto"/>
          <w:highlight w:val="none"/>
          <w:lang w:val="en-US" w:eastAsia="zh-CN"/>
        </w:rPr>
        <w:t>巴音布鲁克景区旅游新景点（六个新景点）配套附属设施建设项目林草补偿234.6万元、全域旅游二期林草征占用费用220.47万元，其他前期费用144.93万元，完善旅游服务设施,</w:t>
      </w:r>
      <w:r>
        <w:rPr>
          <w:rFonts w:hint="eastAsia"/>
          <w:color w:val="auto"/>
          <w:highlight w:val="none"/>
        </w:rPr>
        <w:t>达到了提升巴音布鲁克景区游客满意度和地域知名度的效益，游客满意度达到9</w:t>
      </w:r>
      <w:r>
        <w:rPr>
          <w:rFonts w:hint="eastAsia"/>
          <w:color w:val="auto"/>
          <w:highlight w:val="none"/>
          <w:lang w:val="en-US" w:eastAsia="zh-CN"/>
        </w:rPr>
        <w:t>5</w:t>
      </w:r>
      <w:r>
        <w:rPr>
          <w:rFonts w:hint="eastAsia"/>
          <w:color w:val="auto"/>
          <w:highlight w:val="none"/>
        </w:rPr>
        <w:t>%。</w:t>
      </w:r>
    </w:p>
    <w:p w14:paraId="345B6114">
      <w:pPr>
        <w:pStyle w:val="2"/>
        <w:ind w:firstLine="562"/>
        <w:rPr>
          <w:color w:val="auto"/>
          <w:highlight w:val="none"/>
        </w:rPr>
      </w:pPr>
      <w:r>
        <w:rPr>
          <w:rFonts w:hint="eastAsia"/>
          <w:color w:val="auto"/>
          <w:highlight w:val="none"/>
        </w:rPr>
        <w:t>4.资金投入和使用情况</w:t>
      </w:r>
    </w:p>
    <w:p w14:paraId="118A5211">
      <w:pPr>
        <w:ind w:firstLine="560"/>
        <w:rPr>
          <w:color w:val="auto"/>
          <w:highlight w:val="none"/>
        </w:rPr>
      </w:pPr>
      <w:r>
        <w:rPr>
          <w:rFonts w:hint="eastAsia"/>
          <w:color w:val="auto"/>
          <w:highlight w:val="none"/>
        </w:rPr>
        <w:t>（1）项目资金安排落实、总投入等情况分析</w:t>
      </w:r>
    </w:p>
    <w:p w14:paraId="280BFF23">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600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本级部门预算（自治区专项资金），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600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600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058A2154">
      <w:pPr>
        <w:ind w:firstLine="560"/>
        <w:rPr>
          <w:color w:val="auto"/>
          <w:highlight w:val="none"/>
        </w:rPr>
      </w:pPr>
      <w:r>
        <w:rPr>
          <w:rFonts w:hint="eastAsia"/>
          <w:color w:val="auto"/>
          <w:highlight w:val="none"/>
        </w:rPr>
        <w:t>（2）项目资金实际使用情况分析</w:t>
      </w:r>
    </w:p>
    <w:p w14:paraId="68A326C4">
      <w:pPr>
        <w:ind w:firstLine="560"/>
        <w:rPr>
          <w:rFonts w:hint="eastAsia" w:eastAsia="仿宋_GB2312"/>
          <w:color w:val="auto"/>
          <w:highlight w:val="none"/>
          <w:lang w:val="en-US" w:eastAsia="zh-CN"/>
        </w:rPr>
      </w:pPr>
      <w:r>
        <w:rPr>
          <w:rFonts w:hint="eastAsia"/>
          <w:color w:val="auto"/>
          <w:highlight w:val="none"/>
          <w:lang w:val="en-US" w:eastAsia="zh-CN"/>
        </w:rPr>
        <w:t>截至2024年12月31日，本项目实际支出600万元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巴音布鲁克景区旅游新景点（六个新景点）配套附属设施建设项目林草补偿234.6万元、全域旅游二期林草征占用费用220.47万元，其他前期费用144.93万元。</w:t>
      </w:r>
    </w:p>
    <w:p w14:paraId="36996FE2">
      <w:pPr>
        <w:pStyle w:val="4"/>
        <w:numPr>
          <w:ilvl w:val="0"/>
          <w:numId w:val="2"/>
        </w:numPr>
        <w:ind w:firstLine="643"/>
        <w:rPr>
          <w:color w:val="auto"/>
          <w:highlight w:val="none"/>
        </w:rPr>
      </w:pPr>
      <w:r>
        <w:rPr>
          <w:rFonts w:hint="eastAsia"/>
          <w:color w:val="auto"/>
          <w:highlight w:val="none"/>
        </w:rPr>
        <w:t>项目绩效目标</w:t>
      </w:r>
    </w:p>
    <w:p w14:paraId="3F84E182">
      <w:pPr>
        <w:pStyle w:val="2"/>
        <w:ind w:firstLine="562"/>
        <w:rPr>
          <w:color w:val="auto"/>
          <w:highlight w:val="none"/>
        </w:rPr>
      </w:pPr>
      <w:r>
        <w:rPr>
          <w:rFonts w:hint="eastAsia"/>
          <w:color w:val="auto"/>
          <w:highlight w:val="none"/>
        </w:rPr>
        <w:t>1.总体目标</w:t>
      </w:r>
    </w:p>
    <w:p w14:paraId="668309B7">
      <w:pPr>
        <w:pStyle w:val="2"/>
        <w:ind w:firstLine="562"/>
        <w:rPr>
          <w:rFonts w:hint="eastAsia" w:eastAsia="仿宋_GB2312"/>
          <w:b w:val="0"/>
          <w:bCs w:val="0"/>
          <w:color w:val="auto"/>
          <w:highlight w:val="none"/>
          <w:lang w:val="en-US" w:eastAsia="zh-CN"/>
        </w:rPr>
      </w:pPr>
      <w:r>
        <w:rPr>
          <w:rFonts w:hint="eastAsia"/>
          <w:b w:val="0"/>
          <w:bCs w:val="0"/>
          <w:color w:val="auto"/>
          <w:highlight w:val="none"/>
        </w:rPr>
        <w:t>通过利用</w:t>
      </w:r>
      <w:r>
        <w:rPr>
          <w:rFonts w:hint="eastAsia"/>
          <w:b w:val="0"/>
          <w:bCs w:val="0"/>
          <w:color w:val="auto"/>
          <w:highlight w:val="none"/>
          <w:lang w:eastAsia="zh-CN"/>
        </w:rPr>
        <w:t>土地征占用</w:t>
      </w:r>
      <w:r>
        <w:rPr>
          <w:rFonts w:hint="eastAsia"/>
          <w:b w:val="0"/>
          <w:bCs w:val="0"/>
          <w:color w:val="auto"/>
          <w:highlight w:val="none"/>
        </w:rPr>
        <w:t>资金，切实改善景区基础设施条件，增加新景点，购置旅游物资设备，提高景区应急处置能力，缓解随着游客量逐渐增加，游客对旅游服务的需求与景区基础设施配套的矛盾，提升巴音布鲁克景区游客满意度，地域知名度，促进全县旅游经济高质量发展</w:t>
      </w:r>
      <w:r>
        <w:rPr>
          <w:rFonts w:hint="eastAsia"/>
          <w:b w:val="0"/>
          <w:bCs w:val="0"/>
          <w:color w:val="auto"/>
          <w:highlight w:val="none"/>
          <w:lang w:val="en-US" w:eastAsia="zh-CN"/>
        </w:rPr>
        <w:t>。</w:t>
      </w:r>
    </w:p>
    <w:p w14:paraId="0EB57922">
      <w:pPr>
        <w:pStyle w:val="2"/>
        <w:ind w:firstLine="562"/>
        <w:rPr>
          <w:color w:val="auto"/>
          <w:highlight w:val="none"/>
        </w:rPr>
      </w:pPr>
      <w:r>
        <w:rPr>
          <w:rFonts w:hint="eastAsia"/>
          <w:color w:val="auto"/>
          <w:highlight w:val="none"/>
        </w:rPr>
        <w:t>2.阶段性目标</w:t>
      </w:r>
    </w:p>
    <w:p w14:paraId="7E91BD16">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F16214B">
      <w:pPr>
        <w:bidi w:val="0"/>
        <w:rPr>
          <w:b/>
          <w:bCs/>
          <w:color w:val="auto"/>
          <w:highlight w:val="none"/>
        </w:rPr>
      </w:pPr>
      <w:r>
        <w:rPr>
          <w:rFonts w:hint="eastAsia"/>
          <w:b/>
          <w:bCs/>
          <w:color w:val="auto"/>
          <w:highlight w:val="none"/>
          <w:lang w:eastAsia="zh-CN"/>
        </w:rPr>
        <w:t>（</w:t>
      </w:r>
      <w:r>
        <w:rPr>
          <w:rFonts w:hint="eastAsia"/>
          <w:b/>
          <w:bCs/>
          <w:color w:val="auto"/>
          <w:highlight w:val="none"/>
          <w:lang w:val="en-US" w:eastAsia="zh-CN"/>
        </w:rPr>
        <w:t>1</w:t>
      </w:r>
      <w:r>
        <w:rPr>
          <w:rFonts w:hint="eastAsia"/>
          <w:b/>
          <w:bCs/>
          <w:color w:val="auto"/>
          <w:highlight w:val="none"/>
          <w:lang w:eastAsia="zh-CN"/>
        </w:rPr>
        <w:t>）</w:t>
      </w:r>
      <w:r>
        <w:rPr>
          <w:rFonts w:hint="eastAsia"/>
          <w:b/>
          <w:bCs/>
          <w:color w:val="auto"/>
          <w:highlight w:val="none"/>
        </w:rPr>
        <w:t>项目产出</w:t>
      </w:r>
      <w:r>
        <w:rPr>
          <w:rFonts w:hint="eastAsia"/>
          <w:b/>
          <w:bCs/>
          <w:color w:val="auto"/>
          <w:highlight w:val="none"/>
          <w:lang w:eastAsia="zh-CN"/>
        </w:rPr>
        <w:t>指标</w:t>
      </w:r>
    </w:p>
    <w:p w14:paraId="11ACD5DC">
      <w:pPr>
        <w:ind w:firstLine="560"/>
        <w:rPr>
          <w:color w:val="auto"/>
          <w:highlight w:val="none"/>
        </w:rPr>
      </w:pPr>
      <w:r>
        <w:rPr>
          <w:rFonts w:hint="eastAsia"/>
          <w:color w:val="auto"/>
          <w:highlight w:val="none"/>
        </w:rPr>
        <w:t>①数量指标</w:t>
      </w:r>
    </w:p>
    <w:p w14:paraId="52F2A894">
      <w:pPr>
        <w:ind w:firstLine="560"/>
        <w:rPr>
          <w:rFonts w:hint="eastAsia"/>
          <w:color w:val="auto"/>
          <w:highlight w:val="none"/>
          <w:lang w:val="en-US" w:eastAsia="zh-CN"/>
        </w:rPr>
      </w:pPr>
      <w:r>
        <w:rPr>
          <w:rFonts w:hint="eastAsia"/>
          <w:color w:val="auto"/>
          <w:highlight w:val="none"/>
          <w:lang w:val="en-US" w:eastAsia="zh-CN"/>
        </w:rPr>
        <w:t>“（六个新景点）配套附属设施建设项目林草补偿”指标，预期指标值为≥1个。</w:t>
      </w:r>
    </w:p>
    <w:p w14:paraId="424CD7A1">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“全域旅游二期林草补偿”指标，预期指标值为≥1个。</w:t>
      </w:r>
    </w:p>
    <w:p w14:paraId="0CE0CD67">
      <w:pPr>
        <w:rPr>
          <w:rFonts w:hint="default"/>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其他前期费用</w:t>
      </w:r>
      <w:r>
        <w:rPr>
          <w:rFonts w:hint="eastAsia"/>
          <w:color w:val="auto"/>
          <w:highlight w:val="none"/>
          <w:lang w:val="en-US" w:eastAsia="zh-CN"/>
        </w:rPr>
        <w:t>”指标，预期指标值为≥1个。</w:t>
      </w:r>
    </w:p>
    <w:p w14:paraId="143ADF4A">
      <w:pPr>
        <w:pStyle w:val="2"/>
        <w:rPr>
          <w:b w:val="0"/>
          <w:bCs w:val="0"/>
          <w:color w:val="auto"/>
          <w:highlight w:val="none"/>
        </w:rPr>
      </w:pPr>
      <w:r>
        <w:rPr>
          <w:rFonts w:hint="eastAsia"/>
          <w:b w:val="0"/>
          <w:bCs w:val="0"/>
          <w:color w:val="auto"/>
          <w:highlight w:val="none"/>
        </w:rPr>
        <w:t>②质量指标</w:t>
      </w:r>
    </w:p>
    <w:p w14:paraId="5C80B413">
      <w:pPr>
        <w:ind w:firstLine="560"/>
        <w:rPr>
          <w:rFonts w:hint="default"/>
          <w:color w:val="auto"/>
          <w:highlight w:val="none"/>
          <w:lang w:val="en-US"/>
        </w:rPr>
      </w:pPr>
      <w:r>
        <w:rPr>
          <w:rFonts w:hint="eastAsia"/>
          <w:color w:val="auto"/>
          <w:highlight w:val="none"/>
          <w:lang w:val="en-US" w:eastAsia="zh-CN"/>
        </w:rPr>
        <w:t>“项目完成合格率”指标，预期指标值为≥95%</w:t>
      </w:r>
    </w:p>
    <w:p w14:paraId="0435CA2C">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8EADD73">
      <w:pPr>
        <w:ind w:firstLine="560"/>
        <w:rPr>
          <w:color w:val="auto"/>
          <w:highlight w:val="none"/>
        </w:rPr>
      </w:pPr>
      <w:r>
        <w:rPr>
          <w:rFonts w:hint="eastAsia"/>
          <w:color w:val="auto"/>
          <w:highlight w:val="none"/>
        </w:rPr>
        <w:t>“项目任务按期完成率”指标，预期指标值为</w:t>
      </w:r>
      <w:r>
        <w:rPr>
          <w:rFonts w:hint="eastAsia"/>
          <w:color w:val="auto"/>
          <w:highlight w:val="none"/>
          <w:lang w:val="en-US" w:eastAsia="zh-CN"/>
        </w:rPr>
        <w:t>≥95%。</w:t>
      </w:r>
    </w:p>
    <w:p w14:paraId="43A032D9">
      <w:pPr>
        <w:ind w:firstLine="560"/>
        <w:rPr>
          <w:color w:val="auto"/>
          <w:highlight w:val="none"/>
        </w:rPr>
      </w:pPr>
      <w:r>
        <w:rPr>
          <w:rFonts w:hint="eastAsia"/>
          <w:color w:val="auto"/>
          <w:highlight w:val="none"/>
        </w:rPr>
        <w:t>④成本指标</w:t>
      </w:r>
    </w:p>
    <w:p w14:paraId="5FD9C0A0">
      <w:pPr>
        <w:ind w:firstLine="560"/>
        <w:rPr>
          <w:color w:val="auto"/>
          <w:highlight w:val="none"/>
        </w:rPr>
      </w:pPr>
      <w:r>
        <w:rPr>
          <w:rFonts w:hint="eastAsia"/>
          <w:color w:val="auto"/>
          <w:highlight w:val="none"/>
        </w:rPr>
        <w:t>“（六个新景点）配套附属设施建设项目林草补偿”指标，预期指标值为≤234.6万元；</w:t>
      </w:r>
    </w:p>
    <w:p w14:paraId="47E77D18">
      <w:pPr>
        <w:ind w:firstLine="560"/>
        <w:rPr>
          <w:rFonts w:hint="eastAsia"/>
          <w:color w:val="auto"/>
          <w:highlight w:val="none"/>
        </w:rPr>
      </w:pPr>
      <w:r>
        <w:rPr>
          <w:rFonts w:hint="eastAsia"/>
          <w:color w:val="auto"/>
          <w:highlight w:val="none"/>
        </w:rPr>
        <w:t>“全域旅游二期林草补偿”指标，预期指标值为≤220.47万元；</w:t>
      </w:r>
    </w:p>
    <w:p w14:paraId="488C6A8E">
      <w:pPr>
        <w:ind w:firstLine="560"/>
        <w:rPr>
          <w:rFonts w:hint="default" w:eastAsia="仿宋_GB2312"/>
          <w:color w:val="auto"/>
          <w:highlight w:val="none"/>
          <w:lang w:val="en-US" w:eastAsia="zh-CN"/>
        </w:rPr>
      </w:pPr>
      <w:r>
        <w:rPr>
          <w:rFonts w:hint="default"/>
          <w:color w:val="auto"/>
          <w:highlight w:val="none"/>
          <w:lang w:val="en-US" w:eastAsia="zh-CN"/>
        </w:rPr>
        <w:t>“</w:t>
      </w:r>
      <w:r>
        <w:rPr>
          <w:rFonts w:hint="eastAsia"/>
          <w:color w:val="auto"/>
          <w:highlight w:val="none"/>
        </w:rPr>
        <w:t>其他前期费用</w:t>
      </w:r>
      <w:r>
        <w:rPr>
          <w:rFonts w:hint="default"/>
          <w:color w:val="auto"/>
          <w:highlight w:val="none"/>
          <w:lang w:val="en-US" w:eastAsia="zh-CN"/>
        </w:rPr>
        <w:t>”</w:t>
      </w:r>
      <w:r>
        <w:rPr>
          <w:rFonts w:hint="eastAsia"/>
          <w:color w:val="auto"/>
          <w:highlight w:val="none"/>
          <w:lang w:val="en-US" w:eastAsia="zh-CN"/>
        </w:rPr>
        <w:t>指标，预期指标值为≤144.93万元。</w:t>
      </w:r>
    </w:p>
    <w:p w14:paraId="20D15B50">
      <w:pPr>
        <w:ind w:firstLine="560"/>
        <w:rPr>
          <w:rFonts w:hint="eastAsia" w:eastAsia="仿宋_GB2312"/>
          <w:b/>
          <w:bCs/>
          <w:color w:val="auto"/>
          <w:highlight w:val="none"/>
          <w:lang w:eastAsia="zh-CN"/>
        </w:rPr>
      </w:pPr>
      <w:r>
        <w:rPr>
          <w:rFonts w:hint="eastAsia"/>
          <w:b/>
          <w:bCs/>
          <w:color w:val="auto"/>
          <w:highlight w:val="none"/>
        </w:rPr>
        <w:t>（2）项目效益</w:t>
      </w:r>
      <w:r>
        <w:rPr>
          <w:rFonts w:hint="eastAsia"/>
          <w:b/>
          <w:bCs/>
          <w:color w:val="auto"/>
          <w:highlight w:val="none"/>
          <w:lang w:eastAsia="zh-CN"/>
        </w:rPr>
        <w:t>指标</w:t>
      </w:r>
    </w:p>
    <w:p w14:paraId="587B8364">
      <w:pPr>
        <w:ind w:firstLine="560"/>
        <w:rPr>
          <w:color w:val="auto"/>
          <w:highlight w:val="none"/>
        </w:rPr>
      </w:pPr>
      <w:r>
        <w:rPr>
          <w:rFonts w:hint="eastAsia"/>
          <w:color w:val="auto"/>
          <w:highlight w:val="none"/>
        </w:rPr>
        <w:t>①经济效益指标</w:t>
      </w:r>
    </w:p>
    <w:p w14:paraId="6A82257E">
      <w:pPr>
        <w:ind w:firstLine="560"/>
        <w:rPr>
          <w:rFonts w:hint="eastAsia"/>
          <w:color w:val="auto"/>
          <w:highlight w:val="none"/>
          <w:lang w:val="en-US" w:eastAsia="zh-CN"/>
        </w:rPr>
      </w:pPr>
      <w:r>
        <w:rPr>
          <w:rFonts w:hint="eastAsia"/>
          <w:color w:val="auto"/>
          <w:highlight w:val="none"/>
          <w:lang w:val="en-US" w:eastAsia="zh-CN"/>
        </w:rPr>
        <w:t>“带动景区收入增长率”指标，预期指标值为≥2%。</w:t>
      </w:r>
    </w:p>
    <w:p w14:paraId="1990B964">
      <w:pPr>
        <w:ind w:firstLine="560"/>
        <w:rPr>
          <w:color w:val="auto"/>
          <w:highlight w:val="none"/>
        </w:rPr>
      </w:pPr>
      <w:r>
        <w:rPr>
          <w:rFonts w:hint="eastAsia"/>
          <w:color w:val="auto"/>
          <w:highlight w:val="none"/>
        </w:rPr>
        <w:t>②社会效益指标</w:t>
      </w:r>
    </w:p>
    <w:p w14:paraId="4F320B98">
      <w:pPr>
        <w:ind w:firstLine="560"/>
        <w:rPr>
          <w:color w:val="auto"/>
          <w:highlight w:val="none"/>
        </w:rPr>
      </w:pPr>
      <w:r>
        <w:rPr>
          <w:rFonts w:hint="eastAsia"/>
          <w:color w:val="auto"/>
          <w:highlight w:val="none"/>
        </w:rPr>
        <w:t>“提升景区知名度及景区影响，方便游客游玩”指标，预期指标值为有效</w:t>
      </w:r>
      <w:r>
        <w:rPr>
          <w:rFonts w:hint="eastAsia"/>
          <w:color w:val="auto"/>
          <w:highlight w:val="none"/>
          <w:lang w:eastAsia="zh-CN"/>
        </w:rPr>
        <w:t>促进</w:t>
      </w:r>
      <w:r>
        <w:rPr>
          <w:rFonts w:hint="eastAsia"/>
          <w:color w:val="auto"/>
          <w:highlight w:val="none"/>
        </w:rPr>
        <w:t>；</w:t>
      </w:r>
    </w:p>
    <w:p w14:paraId="3F058E53">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4392001C">
      <w:pPr>
        <w:ind w:firstLine="560"/>
        <w:rPr>
          <w:color w:val="auto"/>
          <w:highlight w:val="none"/>
        </w:rPr>
      </w:pPr>
      <w:r>
        <w:rPr>
          <w:rFonts w:hint="eastAsia"/>
          <w:color w:val="auto"/>
          <w:highlight w:val="none"/>
        </w:rPr>
        <w:t>“游客满意度”指标，预期指标值为≥9</w:t>
      </w:r>
      <w:r>
        <w:rPr>
          <w:rFonts w:hint="eastAsia"/>
          <w:color w:val="auto"/>
          <w:highlight w:val="none"/>
          <w:lang w:val="en-US" w:eastAsia="zh-CN"/>
        </w:rPr>
        <w:t>5</w:t>
      </w:r>
      <w:r>
        <w:rPr>
          <w:rFonts w:hint="eastAsia"/>
          <w:color w:val="auto"/>
          <w:highlight w:val="none"/>
        </w:rPr>
        <w:t>%；</w:t>
      </w:r>
    </w:p>
    <w:p w14:paraId="71A41160">
      <w:pPr>
        <w:pStyle w:val="3"/>
        <w:ind w:firstLine="643"/>
        <w:rPr>
          <w:color w:val="auto"/>
          <w:highlight w:val="none"/>
        </w:rPr>
      </w:pPr>
      <w:r>
        <w:rPr>
          <w:rFonts w:hint="eastAsia"/>
          <w:color w:val="auto"/>
          <w:highlight w:val="none"/>
        </w:rPr>
        <w:t>二、绩效评价工作开展情况</w:t>
      </w:r>
    </w:p>
    <w:p w14:paraId="0B503B33">
      <w:pPr>
        <w:pStyle w:val="4"/>
        <w:ind w:firstLine="643"/>
        <w:rPr>
          <w:color w:val="auto"/>
          <w:highlight w:val="none"/>
        </w:rPr>
      </w:pPr>
      <w:bookmarkStart w:id="0" w:name="_Toc480473081"/>
      <w:bookmarkStart w:id="1" w:name="_Toc21664"/>
      <w:bookmarkStart w:id="2" w:name="_Toc22169_WPSOffice_Level2"/>
      <w:bookmarkStart w:id="3" w:name="_Toc5258"/>
      <w:bookmarkStart w:id="4" w:name="_Toc5462343"/>
      <w:bookmarkStart w:id="5" w:name="_Toc26632"/>
      <w:bookmarkStart w:id="6" w:name="_Toc2292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F5E5AE4">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8D350EF">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巴音布鲁克景区基础设施项目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8790B6E">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EB9658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50D9594">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C0CD77C">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2F5F889">
      <w:pPr>
        <w:pStyle w:val="2"/>
        <w:ind w:firstLine="562"/>
        <w:rPr>
          <w:color w:val="auto"/>
          <w:highlight w:val="none"/>
        </w:rPr>
      </w:pPr>
      <w:r>
        <w:rPr>
          <w:rFonts w:hint="eastAsia"/>
          <w:color w:val="auto"/>
          <w:highlight w:val="none"/>
        </w:rPr>
        <w:t>2.绩效评价对象</w:t>
      </w:r>
    </w:p>
    <w:p w14:paraId="29B8950A">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巴音布鲁克景区基础设施项目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6A50AA04">
      <w:pPr>
        <w:pStyle w:val="2"/>
        <w:ind w:firstLine="562"/>
        <w:rPr>
          <w:color w:val="auto"/>
          <w:highlight w:val="none"/>
        </w:rPr>
      </w:pPr>
      <w:r>
        <w:rPr>
          <w:rFonts w:hint="eastAsia"/>
          <w:color w:val="auto"/>
          <w:highlight w:val="none"/>
        </w:rPr>
        <w:t>3.绩效评价范围</w:t>
      </w:r>
    </w:p>
    <w:p w14:paraId="407F42AA">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9CC7D05">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75161F27">
      <w:pPr>
        <w:pStyle w:val="2"/>
        <w:ind w:firstLine="562"/>
        <w:rPr>
          <w:color w:val="auto"/>
          <w:highlight w:val="none"/>
        </w:rPr>
      </w:pPr>
      <w:r>
        <w:rPr>
          <w:rFonts w:hint="eastAsia"/>
          <w:color w:val="auto"/>
          <w:highlight w:val="none"/>
        </w:rPr>
        <w:t>1.绩效评价原则</w:t>
      </w:r>
    </w:p>
    <w:p w14:paraId="45CB6FB6">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EBD08CD">
      <w:pPr>
        <w:ind w:firstLine="560"/>
        <w:rPr>
          <w:color w:val="auto"/>
          <w:highlight w:val="none"/>
        </w:rPr>
      </w:pPr>
      <w:bookmarkStart w:id="8" w:name="_Toc419984722"/>
      <w:bookmarkStart w:id="9" w:name="_Toc428278230"/>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5933660E">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52FC6E7">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7C4F77B">
      <w:pPr>
        <w:snapToGrid w:val="0"/>
        <w:ind w:firstLine="560"/>
        <w:rPr>
          <w:color w:val="auto"/>
          <w:highlight w:val="none"/>
        </w:rPr>
      </w:pPr>
      <w:r>
        <w:rPr>
          <w:rFonts w:hint="eastAsia"/>
          <w:color w:val="auto"/>
          <w:highlight w:val="none"/>
        </w:rPr>
        <w:t>（4）公开透明。绩效评价结果应依法依规公开，并自觉接受社会监督。</w:t>
      </w:r>
    </w:p>
    <w:p w14:paraId="7B17DA32">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6C70BE7D">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29BA1EA">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21D81A0B">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B5E972F">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08FCDB2">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106C2610">
      <w:pPr>
        <w:pStyle w:val="2"/>
        <w:ind w:firstLine="562"/>
        <w:rPr>
          <w:color w:val="auto"/>
          <w:highlight w:val="none"/>
        </w:rPr>
      </w:pPr>
      <w:r>
        <w:rPr>
          <w:rFonts w:hint="eastAsia"/>
          <w:color w:val="auto"/>
          <w:highlight w:val="none"/>
        </w:rPr>
        <w:t>3.评价方法</w:t>
      </w:r>
    </w:p>
    <w:p w14:paraId="68F4B402">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F370CB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5CC30F7E">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6780D97">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183468FD">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D137CDF">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2962E36">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E6C7A50">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4BC308AB">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6DB43EF">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1D06586">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DA4E71E">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34F884A">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6239103">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7A8C83CB">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0FA3AC1">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0CF66CA">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07AFB56B">
      <w:pPr>
        <w:pStyle w:val="2"/>
        <w:ind w:firstLine="562"/>
        <w:rPr>
          <w:color w:val="auto"/>
          <w:highlight w:val="none"/>
        </w:rPr>
      </w:pPr>
      <w:r>
        <w:rPr>
          <w:rFonts w:hint="eastAsia"/>
          <w:color w:val="auto"/>
          <w:highlight w:val="none"/>
        </w:rPr>
        <w:t>4.评价标准</w:t>
      </w:r>
    </w:p>
    <w:p w14:paraId="1B2B7763">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66EE187">
      <w:pPr>
        <w:pStyle w:val="4"/>
        <w:ind w:firstLine="643"/>
        <w:rPr>
          <w:color w:val="auto"/>
          <w:highlight w:val="none"/>
        </w:rPr>
      </w:pPr>
      <w:r>
        <w:rPr>
          <w:rFonts w:hint="eastAsia"/>
          <w:color w:val="auto"/>
          <w:highlight w:val="none"/>
        </w:rPr>
        <w:t>（三）绩效评价工作过程</w:t>
      </w:r>
    </w:p>
    <w:p w14:paraId="11A41C96">
      <w:pPr>
        <w:pStyle w:val="2"/>
        <w:ind w:firstLine="562"/>
        <w:rPr>
          <w:color w:val="auto"/>
          <w:highlight w:val="none"/>
        </w:rPr>
      </w:pPr>
      <w:r>
        <w:rPr>
          <w:rFonts w:hint="eastAsia"/>
          <w:color w:val="auto"/>
          <w:highlight w:val="none"/>
        </w:rPr>
        <w:t>1.前期准备</w:t>
      </w:r>
    </w:p>
    <w:p w14:paraId="2BC0A42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C60F939">
      <w:pPr>
        <w:ind w:firstLine="560"/>
        <w:rPr>
          <w:color w:val="auto"/>
          <w:highlight w:val="none"/>
        </w:rPr>
      </w:pPr>
      <w:r>
        <w:rPr>
          <w:rFonts w:hint="eastAsia"/>
          <w:color w:val="auto"/>
          <w:highlight w:val="none"/>
          <w:lang w:val="en-US" w:eastAsia="zh-CN"/>
        </w:rPr>
        <w:t>巴图包力德</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val="en-US" w:eastAsia="zh-CN"/>
        </w:rPr>
        <w:t>；</w:t>
      </w:r>
    </w:p>
    <w:p w14:paraId="6E0669DB">
      <w:pPr>
        <w:ind w:firstLine="560"/>
        <w:rPr>
          <w:rFonts w:hint="eastAsia"/>
          <w:color w:val="auto"/>
          <w:highlight w:val="none"/>
          <w:lang w:val="en-US" w:eastAsia="zh-CN"/>
        </w:rPr>
      </w:pPr>
      <w:r>
        <w:rPr>
          <w:rFonts w:hint="eastAsia"/>
          <w:color w:val="auto"/>
          <w:highlight w:val="none"/>
          <w:lang w:eastAsia="zh-CN"/>
        </w:rPr>
        <w:t>付丽娜</w:t>
      </w:r>
      <w:r>
        <w:rPr>
          <w:rFonts w:hint="eastAsia"/>
          <w:color w:val="auto"/>
          <w:highlight w:val="none"/>
        </w:rPr>
        <w:t>（评价小组组员）：主要负责绩效评价现场督导，对评价组成员的评价检查工作提供技术指导与支持，对实效评价工作质量把关</w:t>
      </w:r>
      <w:r>
        <w:rPr>
          <w:rFonts w:hint="eastAsia" w:ascii="Times New Roman" w:hAnsi="Times New Roman" w:cs="Times New Roman"/>
          <w:color w:val="auto"/>
          <w:highlight w:val="none"/>
          <w:lang w:val="en-US" w:eastAsia="zh-CN"/>
        </w:rPr>
        <w:t>；</w:t>
      </w:r>
    </w:p>
    <w:p w14:paraId="149F16BB">
      <w:pPr>
        <w:ind w:firstLine="560"/>
        <w:rPr>
          <w:color w:val="auto"/>
          <w:highlight w:val="none"/>
        </w:rPr>
      </w:pPr>
      <w:r>
        <w:rPr>
          <w:rFonts w:hint="eastAsia"/>
          <w:color w:val="auto"/>
          <w:highlight w:val="none"/>
          <w:lang w:val="en-US" w:eastAsia="zh-CN"/>
        </w:rPr>
        <w:t>苏布松才次</w:t>
      </w:r>
      <w:r>
        <w:rPr>
          <w:rFonts w:hint="eastAsia"/>
          <w:color w:val="auto"/>
          <w:highlight w:val="none"/>
        </w:rPr>
        <w:t>（评价小组组员）：主要负责现场调研工作，完成收集整理资料、审核数据、填报绩效评价内容等工作</w:t>
      </w:r>
      <w:r>
        <w:rPr>
          <w:rFonts w:hint="eastAsia" w:ascii="Times New Roman" w:hAnsi="Times New Roman" w:cs="Times New Roman"/>
          <w:color w:val="auto"/>
          <w:highlight w:val="none"/>
          <w:lang w:val="en-US" w:eastAsia="zh-CN"/>
        </w:rPr>
        <w:t>。</w:t>
      </w:r>
    </w:p>
    <w:p w14:paraId="277BEF3E">
      <w:pPr>
        <w:pStyle w:val="2"/>
        <w:ind w:firstLine="562"/>
        <w:rPr>
          <w:color w:val="auto"/>
          <w:highlight w:val="none"/>
        </w:rPr>
      </w:pPr>
      <w:r>
        <w:rPr>
          <w:rFonts w:hint="eastAsia"/>
          <w:color w:val="auto"/>
          <w:highlight w:val="none"/>
        </w:rPr>
        <w:t>2.组织实施</w:t>
      </w:r>
    </w:p>
    <w:p w14:paraId="652AC87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ECCDC6F">
      <w:pPr>
        <w:pStyle w:val="2"/>
        <w:ind w:firstLine="562"/>
        <w:rPr>
          <w:color w:val="auto"/>
          <w:highlight w:val="none"/>
        </w:rPr>
      </w:pPr>
      <w:r>
        <w:rPr>
          <w:rFonts w:hint="eastAsia"/>
          <w:color w:val="auto"/>
          <w:highlight w:val="none"/>
        </w:rPr>
        <w:t>3.分析评价</w:t>
      </w:r>
    </w:p>
    <w:p w14:paraId="54D8F2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05CCCEE5">
      <w:pPr>
        <w:pStyle w:val="2"/>
        <w:ind w:firstLine="562"/>
        <w:rPr>
          <w:rFonts w:hint="eastAsia"/>
          <w:color w:val="auto"/>
          <w:highlight w:val="none"/>
        </w:rPr>
      </w:pPr>
      <w:r>
        <w:rPr>
          <w:rFonts w:hint="eastAsia"/>
          <w:color w:val="auto"/>
          <w:highlight w:val="none"/>
        </w:rPr>
        <w:t>4.撰写与提交评价报告</w:t>
      </w:r>
    </w:p>
    <w:p w14:paraId="080E94F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C59ADF5">
      <w:pPr>
        <w:pStyle w:val="2"/>
        <w:ind w:firstLine="562"/>
        <w:rPr>
          <w:rFonts w:hint="eastAsia"/>
          <w:color w:val="auto"/>
          <w:highlight w:val="none"/>
        </w:rPr>
      </w:pPr>
      <w:r>
        <w:rPr>
          <w:rFonts w:hint="eastAsia"/>
          <w:color w:val="auto"/>
          <w:highlight w:val="none"/>
        </w:rPr>
        <w:t>5.问题整改</w:t>
      </w:r>
    </w:p>
    <w:p w14:paraId="50FB53F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A99455E">
      <w:pPr>
        <w:pStyle w:val="2"/>
        <w:ind w:firstLine="562"/>
        <w:rPr>
          <w:rFonts w:hint="eastAsia"/>
          <w:color w:val="auto"/>
          <w:highlight w:val="none"/>
        </w:rPr>
      </w:pPr>
      <w:r>
        <w:rPr>
          <w:rFonts w:hint="eastAsia"/>
          <w:color w:val="auto"/>
          <w:highlight w:val="none"/>
        </w:rPr>
        <w:t>6.档案整理</w:t>
      </w:r>
    </w:p>
    <w:p w14:paraId="6D1E19A0">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6B5A706">
      <w:pPr>
        <w:pStyle w:val="3"/>
        <w:numPr>
          <w:ilvl w:val="0"/>
          <w:numId w:val="3"/>
        </w:numPr>
        <w:ind w:firstLine="643"/>
        <w:rPr>
          <w:color w:val="auto"/>
          <w:highlight w:val="none"/>
        </w:rPr>
      </w:pPr>
      <w:r>
        <w:rPr>
          <w:rFonts w:hint="eastAsia"/>
          <w:color w:val="auto"/>
          <w:highlight w:val="none"/>
        </w:rPr>
        <w:t>综合评价情况及评价结论</w:t>
      </w:r>
    </w:p>
    <w:p w14:paraId="4DDA073F">
      <w:pPr>
        <w:pStyle w:val="4"/>
        <w:ind w:firstLine="643"/>
        <w:rPr>
          <w:rFonts w:hint="eastAsia"/>
          <w:b w:val="0"/>
          <w:color w:val="auto"/>
          <w:highlight w:val="none"/>
        </w:rPr>
      </w:pPr>
      <w:r>
        <w:rPr>
          <w:rFonts w:hint="eastAsia"/>
          <w:color w:val="auto"/>
          <w:highlight w:val="none"/>
        </w:rPr>
        <w:t>（一）综合评价情况</w:t>
      </w:r>
    </w:p>
    <w:p w14:paraId="06447A95">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B1C67EA">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33B2D00">
      <w:pPr>
        <w:ind w:firstLine="560"/>
        <w:rPr>
          <w:rFonts w:hint="default"/>
          <w:color w:val="auto"/>
          <w:highlight w:val="none"/>
          <w:lang w:val="en-US" w:eastAsia="zh-CN"/>
        </w:rPr>
      </w:pPr>
      <w:r>
        <w:rPr>
          <w:rFonts w:hint="eastAsia"/>
          <w:color w:val="auto"/>
          <w:highlight w:val="none"/>
        </w:rPr>
        <w:t>一是：</w:t>
      </w:r>
      <w:r>
        <w:rPr>
          <w:rFonts w:hint="eastAsia"/>
          <w:color w:val="auto"/>
          <w:highlight w:val="none"/>
          <w:lang w:val="en-US" w:eastAsia="zh-CN"/>
        </w:rPr>
        <w:t>按时支付巴音布鲁克景区旅游新景点（六个新景点）配套附属设施建设项目、全域旅游二期林草征占用费用项目费用；</w:t>
      </w:r>
    </w:p>
    <w:p w14:paraId="04FE4CCF">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带动景区增加收入1000万余元；</w:t>
      </w:r>
    </w:p>
    <w:p w14:paraId="44C04929">
      <w:pPr>
        <w:ind w:firstLine="560"/>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三是</w:t>
      </w:r>
      <w:r>
        <w:rPr>
          <w:rFonts w:hint="eastAsia" w:cs="Times New Roman"/>
          <w:b w:val="0"/>
          <w:bCs w:val="0"/>
          <w:color w:val="auto"/>
          <w:kern w:val="2"/>
          <w:sz w:val="28"/>
          <w:szCs w:val="24"/>
          <w:highlight w:val="none"/>
          <w:lang w:val="en-US" w:eastAsia="zh-CN" w:bidi="ar-SA"/>
        </w:rPr>
        <w:t>：促进景区及景区周边旅游发展，完善旅游服务设施，提升巴音布鲁克景区游客满意度和地域知名度，促进我县旅游高质量发展。</w:t>
      </w:r>
    </w:p>
    <w:p w14:paraId="686FE004">
      <w:pPr>
        <w:pStyle w:val="4"/>
        <w:ind w:left="560" w:leftChars="200" w:firstLine="0" w:firstLineChars="0"/>
        <w:rPr>
          <w:color w:val="auto"/>
          <w:highlight w:val="none"/>
        </w:rPr>
      </w:pPr>
      <w:r>
        <w:rPr>
          <w:rFonts w:hint="eastAsia"/>
          <w:color w:val="auto"/>
          <w:highlight w:val="none"/>
        </w:rPr>
        <w:t>（二）评价结论</w:t>
      </w:r>
    </w:p>
    <w:p w14:paraId="6EB90617">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3个</w:t>
      </w:r>
      <w:r>
        <w:rPr>
          <w:rFonts w:hint="eastAsia"/>
          <w:color w:val="auto"/>
          <w:highlight w:val="none"/>
          <w:lang w:val="zh-TW" w:eastAsia="zh-TW"/>
        </w:rPr>
        <w:t>，得分率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1900333F">
      <w:pPr>
        <w:pStyle w:val="3"/>
        <w:numPr>
          <w:ilvl w:val="0"/>
          <w:numId w:val="3"/>
        </w:numPr>
        <w:ind w:firstLine="643"/>
        <w:rPr>
          <w:color w:val="auto"/>
          <w:highlight w:val="none"/>
        </w:rPr>
      </w:pPr>
      <w:r>
        <w:rPr>
          <w:rFonts w:hint="eastAsia"/>
          <w:color w:val="auto"/>
          <w:highlight w:val="none"/>
        </w:rPr>
        <w:t>绩效评价指标分析</w:t>
      </w:r>
    </w:p>
    <w:p w14:paraId="2FD73566">
      <w:pPr>
        <w:pStyle w:val="4"/>
        <w:ind w:firstLine="643"/>
        <w:rPr>
          <w:color w:val="auto"/>
          <w:highlight w:val="none"/>
        </w:rPr>
      </w:pPr>
      <w:r>
        <w:rPr>
          <w:rFonts w:hint="eastAsia"/>
          <w:color w:val="auto"/>
          <w:highlight w:val="none"/>
        </w:rPr>
        <w:t>（一）项目决策情况</w:t>
      </w:r>
    </w:p>
    <w:p w14:paraId="2A6311CC">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ED56F0D">
      <w:pPr>
        <w:pStyle w:val="2"/>
        <w:ind w:firstLine="562"/>
        <w:rPr>
          <w:color w:val="auto"/>
          <w:highlight w:val="none"/>
        </w:rPr>
      </w:pPr>
      <w:r>
        <w:rPr>
          <w:rFonts w:hint="eastAsia"/>
          <w:color w:val="auto"/>
          <w:highlight w:val="none"/>
        </w:rPr>
        <w:t>1.项目立项情况分析</w:t>
      </w:r>
    </w:p>
    <w:p w14:paraId="01812C3D">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6C195FE">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关于公布自治区征收农用地区片综合地价标准的通知》(新自然资规[2020]4号)、和静县人民政府文件《和静县关于公布和静县征收农用地区片综合地价标准的通知》(静政发[2020]85号)、新疆维吾尔自治区国土资源厅文件(新国土资发[2009]131号)</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资金使用范围：旅游景区基础设施、配套服务设施、公共服务设施建设</w:t>
      </w:r>
      <w:r>
        <w:rPr>
          <w:rFonts w:hint="eastAsia"/>
          <w:color w:val="auto"/>
          <w:highlight w:val="none"/>
          <w:lang w:bidi="ar"/>
        </w:rPr>
        <w:t>”</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和静县巴音布鲁克景区管理委员会</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负责做好景区公共基础设施及旅游配套的建设、维护、监督管理等工作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其他文化和旅游支出</w:t>
      </w:r>
      <w:r>
        <w:rPr>
          <w:rFonts w:hint="eastAsia"/>
          <w:color w:val="auto"/>
          <w:highlight w:val="none"/>
          <w:lang w:eastAsia="zh-Hans"/>
        </w:rPr>
        <w:t>”经济分类为“</w:t>
      </w:r>
      <w:r>
        <w:rPr>
          <w:rFonts w:hint="eastAsia"/>
          <w:color w:val="auto"/>
          <w:highlight w:val="none"/>
          <w:lang w:eastAsia="zh-CN"/>
        </w:rPr>
        <w:t>基础设施建设</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68B9A911">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3717CEEC">
      <w:pPr>
        <w:ind w:firstLine="562"/>
        <w:rPr>
          <w:b/>
          <w:bCs/>
          <w:color w:val="auto"/>
          <w:highlight w:val="none"/>
        </w:rPr>
      </w:pPr>
      <w:r>
        <w:rPr>
          <w:rFonts w:hint="eastAsia"/>
          <w:b/>
          <w:bCs/>
          <w:color w:val="auto"/>
          <w:highlight w:val="none"/>
        </w:rPr>
        <w:t>（2）立项程序规范性</w:t>
      </w:r>
    </w:p>
    <w:p w14:paraId="09288F66">
      <w:pPr>
        <w:ind w:firstLine="560"/>
        <w:rPr>
          <w:rFonts w:hint="eastAsia" w:eastAsia="仿宋_GB2312"/>
          <w:color w:val="auto"/>
          <w:highlight w:val="none"/>
          <w:lang w:eastAsia="zh-CN"/>
        </w:rPr>
      </w:pPr>
      <w:r>
        <w:rPr>
          <w:rFonts w:hint="eastAsia"/>
          <w:color w:val="auto"/>
          <w:highlight w:val="none"/>
        </w:rPr>
        <w:t>本项目</w:t>
      </w:r>
      <w:r>
        <w:rPr>
          <w:rFonts w:hint="eastAsia"/>
          <w:color w:val="auto"/>
          <w:highlight w:val="none"/>
          <w:lang w:eastAsia="zh-CN"/>
        </w:rPr>
        <w:t>巴音布鲁克景区基础设施建设</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景区基础设施维修改造</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600</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eastAsia="zh-CN"/>
        </w:rPr>
        <w:t>新疆巴州工程咨询中心</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r>
        <w:rPr>
          <w:rFonts w:hint="eastAsia"/>
          <w:color w:val="auto"/>
          <w:highlight w:val="none"/>
          <w:lang w:val="en-US" w:eastAsia="zh-CN"/>
        </w:rPr>
        <w:t>该</w:t>
      </w:r>
      <w:r>
        <w:rPr>
          <w:rFonts w:hint="eastAsia"/>
          <w:color w:val="auto"/>
          <w:highlight w:val="none"/>
        </w:rPr>
        <w:t>项目按照规定程序申请设立</w:t>
      </w:r>
      <w:r>
        <w:rPr>
          <w:rFonts w:hint="eastAsia"/>
          <w:color w:val="auto"/>
          <w:highlight w:val="none"/>
          <w:lang w:eastAsia="zh-CN"/>
        </w:rPr>
        <w:t>；</w:t>
      </w:r>
      <w:r>
        <w:rPr>
          <w:rFonts w:hint="eastAsia"/>
          <w:color w:val="auto"/>
          <w:highlight w:val="none"/>
        </w:rPr>
        <w:t>事前已经过必要的可行性研究、专家论证、集体决策</w:t>
      </w:r>
      <w:r>
        <w:rPr>
          <w:rFonts w:hint="eastAsia"/>
          <w:color w:val="auto"/>
          <w:highlight w:val="none"/>
          <w:lang w:eastAsia="zh-CN"/>
        </w:rPr>
        <w:t>。</w:t>
      </w:r>
    </w:p>
    <w:p w14:paraId="6BAE3E2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CF1457E">
      <w:pPr>
        <w:pStyle w:val="2"/>
        <w:ind w:firstLine="562"/>
        <w:rPr>
          <w:color w:val="auto"/>
          <w:highlight w:val="none"/>
        </w:rPr>
      </w:pPr>
      <w:r>
        <w:rPr>
          <w:rFonts w:hint="eastAsia"/>
          <w:color w:val="auto"/>
          <w:highlight w:val="none"/>
        </w:rPr>
        <w:t>2.绩效目标情况分析</w:t>
      </w:r>
    </w:p>
    <w:p w14:paraId="21875E91">
      <w:pPr>
        <w:ind w:firstLine="562"/>
        <w:rPr>
          <w:b/>
          <w:bCs/>
          <w:color w:val="auto"/>
          <w:highlight w:val="none"/>
        </w:rPr>
      </w:pPr>
      <w:r>
        <w:rPr>
          <w:rFonts w:hint="eastAsia"/>
          <w:b/>
          <w:bCs/>
          <w:color w:val="auto"/>
          <w:highlight w:val="none"/>
        </w:rPr>
        <w:t>（1）绩效目标合理性</w:t>
      </w:r>
    </w:p>
    <w:p w14:paraId="5735D0C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560" w:firstLineChars="200"/>
        <w:jc w:val="both"/>
        <w:textAlignment w:val="auto"/>
        <w:rPr>
          <w:color w:val="auto"/>
          <w:highlight w:val="none"/>
          <w:lang w:eastAsia="zh-Hans"/>
        </w:rPr>
      </w:pPr>
      <w:r>
        <w:rPr>
          <w:rFonts w:hint="eastAsia"/>
          <w:color w:val="auto"/>
          <w:highlight w:val="none"/>
        </w:rPr>
        <w:t>本项目已设置年度绩效目标，具体内容为“</w:t>
      </w:r>
      <w:r>
        <w:rPr>
          <w:rFonts w:hint="default"/>
          <w:color w:val="auto"/>
          <w:highlight w:val="none"/>
          <w:lang w:val="en-US" w:eastAsia="zh-CN"/>
        </w:rPr>
        <w:t>目标1.巴音布鲁克景区旅游新景点（六个新景点）配套附属设施建设项目林草补偿全域旅游二期林草征占用费用</w:t>
      </w:r>
      <w:r>
        <w:rPr>
          <w:rFonts w:hint="eastAsia"/>
          <w:color w:val="auto"/>
          <w:highlight w:val="none"/>
          <w:lang w:val="en-US" w:eastAsia="zh-CN"/>
        </w:rPr>
        <w:t>。</w:t>
      </w:r>
      <w:r>
        <w:rPr>
          <w:rFonts w:hint="default"/>
          <w:color w:val="auto"/>
          <w:highlight w:val="none"/>
          <w:lang w:val="en-US" w:eastAsia="zh-CN"/>
        </w:rPr>
        <w:t>目标2：为贯彻落实自治区旅游兴疆战略，打造精品旅游线路，完善旅游服务设施，提升巴音布鲁克景区游客满意度和地域知名度，促进我县旅游高质量发展。</w:t>
      </w:r>
      <w:r>
        <w:rPr>
          <w:rFonts w:hint="eastAsia"/>
          <w:color w:val="auto"/>
          <w:highlight w:val="none"/>
        </w:rPr>
        <w:t>”；本项目实际工作为：</w:t>
      </w:r>
      <w:r>
        <w:rPr>
          <w:rFonts w:hint="eastAsia"/>
          <w:color w:val="auto"/>
          <w:highlight w:val="none"/>
          <w:lang w:eastAsia="zh-CN"/>
        </w:rPr>
        <w:t>支付</w:t>
      </w:r>
      <w:r>
        <w:rPr>
          <w:rFonts w:hint="eastAsia"/>
          <w:color w:val="auto"/>
          <w:highlight w:val="none"/>
        </w:rPr>
        <w:t>巴音布鲁克景区旅游新景点（六个新景点）配套附属设施建设项目林草补偿234.6万元、全域旅游二期林草征占用费用220.47万元，其他前期费用144.93万元。绩效目标与实际工作内容一致，两者具有相关性;本项目</w:t>
      </w:r>
      <w:r>
        <w:rPr>
          <w:rFonts w:hint="eastAsia"/>
          <w:color w:val="auto"/>
          <w:highlight w:val="none"/>
          <w:lang w:eastAsia="zh-Hans"/>
        </w:rPr>
        <w:t>按照绩效目标完成数量指标、质量指标、时效指标、成本指标，有效</w:t>
      </w:r>
      <w:r>
        <w:rPr>
          <w:rFonts w:hint="eastAsia"/>
          <w:color w:val="auto"/>
          <w:highlight w:val="none"/>
          <w:lang w:eastAsia="zh-CN"/>
        </w:rPr>
        <w:t>推动</w:t>
      </w:r>
      <w:r>
        <w:rPr>
          <w:rFonts w:hint="eastAsia"/>
          <w:color w:val="auto"/>
          <w:highlight w:val="none"/>
          <w:lang w:eastAsia="zh-Hans"/>
        </w:rPr>
        <w:t>了</w:t>
      </w:r>
      <w:r>
        <w:rPr>
          <w:rFonts w:hint="eastAsia"/>
          <w:color w:val="auto"/>
          <w:highlight w:val="none"/>
        </w:rPr>
        <w:t>带动景区收入增长率</w:t>
      </w:r>
      <w:r>
        <w:rPr>
          <w:rFonts w:hint="eastAsia"/>
          <w:color w:val="auto"/>
          <w:highlight w:val="none"/>
          <w:lang w:eastAsia="zh-Hans"/>
        </w:rPr>
        <w:t>，推动景区提质增效</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600</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600</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097CF41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74A6D8F">
      <w:pPr>
        <w:ind w:firstLine="562"/>
        <w:rPr>
          <w:b/>
          <w:bCs/>
          <w:color w:val="auto"/>
          <w:highlight w:val="none"/>
        </w:rPr>
      </w:pPr>
      <w:r>
        <w:rPr>
          <w:rFonts w:hint="eastAsia"/>
          <w:b/>
          <w:bCs/>
          <w:color w:val="auto"/>
          <w:highlight w:val="none"/>
        </w:rPr>
        <w:t>（2）绩效指标明确性</w:t>
      </w:r>
    </w:p>
    <w:p w14:paraId="00EBBCCF">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90.91</w:t>
      </w:r>
      <w:r>
        <w:rPr>
          <w:rFonts w:hint="eastAsia"/>
          <w:color w:val="auto"/>
          <w:highlight w:val="none"/>
          <w:lang w:eastAsia="zh-Hans"/>
        </w:rPr>
        <w:t>%，量化率达</w:t>
      </w:r>
      <w:r>
        <w:rPr>
          <w:rFonts w:hint="eastAsia"/>
          <w:color w:val="auto"/>
          <w:highlight w:val="none"/>
          <w:lang w:val="en-US" w:eastAsia="zh-CN"/>
        </w:rPr>
        <w:t>70</w:t>
      </w:r>
      <w:r>
        <w:rPr>
          <w:rFonts w:hint="eastAsia"/>
          <w:color w:val="auto"/>
          <w:highlight w:val="none"/>
          <w:lang w:eastAsia="zh-Hans"/>
        </w:rPr>
        <w:t>%以上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1BFE7CE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C699196">
      <w:pPr>
        <w:pStyle w:val="2"/>
        <w:ind w:firstLine="562"/>
        <w:rPr>
          <w:color w:val="auto"/>
          <w:highlight w:val="none"/>
        </w:rPr>
      </w:pPr>
      <w:r>
        <w:rPr>
          <w:rFonts w:hint="eastAsia"/>
          <w:color w:val="auto"/>
          <w:highlight w:val="none"/>
        </w:rPr>
        <w:t>3.资金投入情况分析</w:t>
      </w:r>
    </w:p>
    <w:p w14:paraId="62217BD4">
      <w:pPr>
        <w:ind w:firstLine="562"/>
        <w:rPr>
          <w:b/>
          <w:bCs/>
          <w:color w:val="auto"/>
          <w:highlight w:val="none"/>
          <w:lang w:eastAsia="zh-Hans" w:bidi="ar"/>
        </w:rPr>
      </w:pPr>
      <w:r>
        <w:rPr>
          <w:rFonts w:hint="eastAsia"/>
          <w:b/>
          <w:bCs/>
          <w:color w:val="auto"/>
          <w:highlight w:val="none"/>
          <w:lang w:eastAsia="zh-Hans" w:bidi="ar"/>
        </w:rPr>
        <w:t>（1）预算编制科学性</w:t>
      </w:r>
    </w:p>
    <w:p w14:paraId="75EBCDDA">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招投标</w:t>
      </w:r>
      <w:r>
        <w:rPr>
          <w:rFonts w:hint="eastAsia"/>
          <w:color w:val="auto"/>
          <w:highlight w:val="none"/>
          <w:lang w:eastAsia="zh-Hans" w:bidi="ar"/>
        </w:rPr>
        <w:t>，由</w:t>
      </w:r>
      <w:r>
        <w:rPr>
          <w:rFonts w:hint="eastAsia"/>
          <w:color w:val="auto"/>
          <w:highlight w:val="none"/>
          <w:lang w:eastAsia="zh-CN" w:bidi="ar"/>
        </w:rPr>
        <w:t>新疆中辰建工集团有限公司</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44ECB003">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和静县巴音布鲁克景区基础设施建设</w:t>
      </w:r>
      <w:r>
        <w:rPr>
          <w:rFonts w:hint="eastAsia"/>
          <w:color w:val="auto"/>
          <w:highlight w:val="none"/>
          <w:lang w:eastAsia="zh-Hans" w:bidi="ar"/>
        </w:rPr>
        <w:t>，项目实际内容为</w:t>
      </w:r>
      <w:r>
        <w:rPr>
          <w:rFonts w:hint="eastAsia"/>
          <w:color w:val="auto"/>
          <w:highlight w:val="none"/>
          <w:lang w:eastAsia="zh-CN" w:bidi="ar"/>
        </w:rPr>
        <w:t>和静县巴音布鲁克景区基础设施建设</w:t>
      </w:r>
      <w:r>
        <w:rPr>
          <w:rFonts w:hint="eastAsia"/>
          <w:color w:val="auto"/>
          <w:highlight w:val="none"/>
          <w:lang w:eastAsia="zh-Hans" w:bidi="ar"/>
        </w:rPr>
        <w:t>，预算申请与《</w:t>
      </w:r>
      <w:r>
        <w:rPr>
          <w:rFonts w:hint="eastAsia"/>
          <w:color w:val="auto"/>
          <w:highlight w:val="none"/>
          <w:lang w:eastAsia="zh-CN" w:bidi="ar"/>
        </w:rPr>
        <w:t>和静县巴音布鲁克景区基础设施建设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5E8AB5FE">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600</w:t>
      </w:r>
      <w:r>
        <w:rPr>
          <w:rFonts w:hint="eastAsia"/>
          <w:color w:val="auto"/>
          <w:highlight w:val="none"/>
        </w:rPr>
        <w:t>万元，我单位在预算申请中严格按照单位标准和数量进行核算，其中：单位标准为</w:t>
      </w:r>
      <w:r>
        <w:rPr>
          <w:rFonts w:hint="eastAsia"/>
          <w:color w:val="auto"/>
          <w:highlight w:val="none"/>
          <w:lang w:eastAsia="zh-CN"/>
        </w:rPr>
        <w:t>平方米</w:t>
      </w:r>
      <w:r>
        <w:rPr>
          <w:rFonts w:hint="eastAsia"/>
          <w:color w:val="auto"/>
          <w:highlight w:val="none"/>
        </w:rPr>
        <w:t>，数量为</w:t>
      </w:r>
      <w:r>
        <w:rPr>
          <w:rFonts w:hint="eastAsia"/>
          <w:color w:val="auto"/>
          <w:highlight w:val="none"/>
          <w:lang w:eastAsia="zh-CN"/>
        </w:rPr>
        <w:t>节点</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4F6880E1">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257EBA01">
      <w:pPr>
        <w:ind w:firstLine="562"/>
        <w:rPr>
          <w:b/>
          <w:bCs/>
          <w:color w:val="auto"/>
          <w:highlight w:val="none"/>
        </w:rPr>
      </w:pPr>
      <w:r>
        <w:rPr>
          <w:rFonts w:hint="eastAsia"/>
          <w:b/>
          <w:bCs/>
          <w:color w:val="auto"/>
          <w:highlight w:val="none"/>
        </w:rPr>
        <w:t>（2）资金分配合理性</w:t>
      </w:r>
    </w:p>
    <w:p w14:paraId="334CFA04">
      <w:pPr>
        <w:ind w:firstLine="560"/>
        <w:rPr>
          <w:rFonts w:hint="eastAsia"/>
          <w:color w:val="auto"/>
          <w:highlight w:val="none"/>
          <w:lang w:eastAsia="zh-Hans" w:bidi="ar"/>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公布自治区征收农用地区片综合地价标准的通知》(新自然资规[2020]4号)、和静县人民政府文件《和静县关于公布和静县征收农用地区片综合地价标准的通知》(静政发[2020]85号)、新疆维吾尔自治区国土资源厅文件(新国土资发[2009]131号)为依据进行资金分配，预算资金分配依据充分。根据《</w:t>
      </w:r>
      <w:r>
        <w:rPr>
          <w:rFonts w:hint="eastAsia"/>
          <w:color w:val="auto"/>
          <w:highlight w:val="none"/>
          <w:lang w:val="en-US" w:eastAsia="zh-CN" w:bidi="ar"/>
        </w:rPr>
        <w:t>2023年自治区旅游发展专项资金预算</w:t>
      </w:r>
      <w:r>
        <w:rPr>
          <w:rFonts w:hint="eastAsia"/>
          <w:color w:val="auto"/>
          <w:highlight w:val="none"/>
          <w:lang w:eastAsia="zh-Hans" w:bidi="ar"/>
        </w:rPr>
        <w:t>资金下达文件》文件显示，本项目实际到位资金</w:t>
      </w:r>
      <w:r>
        <w:rPr>
          <w:rFonts w:hint="eastAsia"/>
          <w:color w:val="auto"/>
          <w:highlight w:val="none"/>
          <w:lang w:val="en-US" w:eastAsia="zh-CN" w:bidi="ar"/>
        </w:rPr>
        <w:t>600</w:t>
      </w:r>
      <w:r>
        <w:rPr>
          <w:rFonts w:hint="eastAsia"/>
          <w:color w:val="auto"/>
          <w:highlight w:val="none"/>
          <w:lang w:eastAsia="zh-Hans" w:bidi="ar"/>
        </w:rPr>
        <w:t>万元，实际分配资金与我单位提交申请的资金额度一致，资金分配额度合理，与我单位实际需求相适应。</w:t>
      </w:r>
    </w:p>
    <w:p w14:paraId="2501688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45ACD97">
      <w:pPr>
        <w:pStyle w:val="4"/>
        <w:ind w:firstLine="643"/>
        <w:rPr>
          <w:color w:val="auto"/>
          <w:highlight w:val="none"/>
        </w:rPr>
      </w:pPr>
      <w:r>
        <w:rPr>
          <w:rFonts w:hint="eastAsia"/>
          <w:color w:val="auto"/>
          <w:highlight w:val="none"/>
        </w:rPr>
        <w:t>（二）项目过程情况</w:t>
      </w:r>
    </w:p>
    <w:p w14:paraId="7C48DB0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3D03593">
      <w:pPr>
        <w:pStyle w:val="2"/>
        <w:ind w:firstLine="562"/>
        <w:rPr>
          <w:color w:val="auto"/>
          <w:highlight w:val="none"/>
        </w:rPr>
      </w:pPr>
      <w:r>
        <w:rPr>
          <w:rFonts w:hint="eastAsia"/>
          <w:color w:val="auto"/>
          <w:highlight w:val="none"/>
        </w:rPr>
        <w:t>1.资金管理情况分析</w:t>
      </w:r>
    </w:p>
    <w:p w14:paraId="0A119240">
      <w:pPr>
        <w:ind w:firstLine="562"/>
        <w:rPr>
          <w:b/>
          <w:bCs/>
          <w:color w:val="auto"/>
          <w:highlight w:val="none"/>
        </w:rPr>
      </w:pPr>
      <w:r>
        <w:rPr>
          <w:rFonts w:hint="eastAsia"/>
          <w:b/>
          <w:bCs/>
          <w:color w:val="auto"/>
          <w:highlight w:val="none"/>
        </w:rPr>
        <w:t>（1）资金到位率</w:t>
      </w:r>
    </w:p>
    <w:p w14:paraId="71522F1C">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600</w:t>
      </w:r>
      <w:r>
        <w:rPr>
          <w:rFonts w:hint="eastAsia"/>
          <w:color w:val="auto"/>
          <w:highlight w:val="none"/>
        </w:rPr>
        <w:t>万元，其中：本级财政安排资金</w:t>
      </w:r>
      <w:r>
        <w:rPr>
          <w:rFonts w:hint="eastAsia"/>
          <w:color w:val="auto"/>
          <w:highlight w:val="none"/>
          <w:lang w:val="en-US" w:eastAsia="zh-CN"/>
        </w:rPr>
        <w:t>600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600</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%。得分=</w:t>
      </w:r>
      <w:r>
        <w:rPr>
          <w:rFonts w:hint="eastAsia"/>
          <w:color w:val="auto"/>
          <w:highlight w:val="none"/>
          <w:lang w:val="en-US" w:eastAsia="zh-CN"/>
        </w:rPr>
        <w:t>2</w:t>
      </w:r>
      <w:r>
        <w:rPr>
          <w:rFonts w:hint="eastAsia"/>
          <w:color w:val="auto"/>
          <w:highlight w:val="none"/>
        </w:rPr>
        <w:t>分。</w:t>
      </w:r>
    </w:p>
    <w:p w14:paraId="16396DD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126B517">
      <w:pPr>
        <w:ind w:firstLine="562"/>
        <w:rPr>
          <w:color w:val="auto"/>
          <w:highlight w:val="none"/>
        </w:rPr>
      </w:pPr>
      <w:r>
        <w:rPr>
          <w:rFonts w:hint="eastAsia"/>
          <w:b/>
          <w:bCs/>
          <w:color w:val="auto"/>
          <w:highlight w:val="none"/>
        </w:rPr>
        <w:t>（2）预算执行率</w:t>
      </w:r>
    </w:p>
    <w:p w14:paraId="5D3D2F9E">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600</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100</w:t>
      </w:r>
      <w:r>
        <w:rPr>
          <w:rFonts w:hint="eastAsia"/>
          <w:color w:val="auto"/>
          <w:highlight w:val="none"/>
        </w:rPr>
        <w:t>%。得分=</w:t>
      </w:r>
      <w:r>
        <w:rPr>
          <w:rFonts w:hint="eastAsia"/>
          <w:color w:val="auto"/>
          <w:highlight w:val="none"/>
          <w:lang w:val="en-US" w:eastAsia="zh-CN"/>
        </w:rPr>
        <w:t>7</w:t>
      </w:r>
      <w:r>
        <w:rPr>
          <w:rFonts w:hint="eastAsia"/>
          <w:color w:val="auto"/>
          <w:highlight w:val="none"/>
        </w:rPr>
        <w:t>分。</w:t>
      </w:r>
    </w:p>
    <w:p w14:paraId="4E595F9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3FCF90DE">
      <w:pPr>
        <w:ind w:firstLine="562"/>
        <w:rPr>
          <w:b/>
          <w:bCs/>
          <w:color w:val="auto"/>
          <w:highlight w:val="none"/>
        </w:rPr>
      </w:pPr>
      <w:r>
        <w:rPr>
          <w:rFonts w:hint="eastAsia"/>
          <w:b/>
          <w:bCs/>
          <w:color w:val="auto"/>
          <w:highlight w:val="none"/>
        </w:rPr>
        <w:t>（3）资金使用合规性</w:t>
      </w:r>
    </w:p>
    <w:p w14:paraId="693292B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和静县巴音布鲁克景区管理委员会</w:t>
      </w:r>
      <w:r>
        <w:rPr>
          <w:color w:val="auto"/>
          <w:highlight w:val="none"/>
        </w:rPr>
        <w:t>资金管理办法》</w:t>
      </w:r>
      <w:r>
        <w:rPr>
          <w:rFonts w:hint="eastAsia"/>
          <w:color w:val="auto"/>
          <w:highlight w:val="none"/>
          <w:lang w:eastAsia="zh-CN"/>
        </w:rPr>
        <w:t>《和静县巴音布鲁克景区管理委员会</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18511F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F342676">
      <w:pPr>
        <w:pStyle w:val="2"/>
        <w:ind w:firstLine="562"/>
        <w:rPr>
          <w:color w:val="auto"/>
          <w:highlight w:val="none"/>
        </w:rPr>
      </w:pPr>
      <w:r>
        <w:rPr>
          <w:rFonts w:hint="eastAsia"/>
          <w:color w:val="auto"/>
          <w:highlight w:val="none"/>
        </w:rPr>
        <w:t>2.组织实施情况分析</w:t>
      </w:r>
    </w:p>
    <w:p w14:paraId="447BE492">
      <w:pPr>
        <w:ind w:firstLine="562"/>
        <w:rPr>
          <w:b/>
          <w:bCs/>
          <w:color w:val="auto"/>
          <w:highlight w:val="none"/>
        </w:rPr>
      </w:pPr>
      <w:r>
        <w:rPr>
          <w:rFonts w:hint="eastAsia"/>
          <w:b/>
          <w:bCs/>
          <w:color w:val="auto"/>
          <w:highlight w:val="none"/>
        </w:rPr>
        <w:t>（1）管理制度健全性</w:t>
      </w:r>
    </w:p>
    <w:p w14:paraId="41524F2B">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和静县巴音布鲁克景区管理委员会</w:t>
      </w:r>
      <w:r>
        <w:rPr>
          <w:rFonts w:hint="eastAsia"/>
          <w:color w:val="auto"/>
          <w:highlight w:val="none"/>
        </w:rPr>
        <w:t>资金管理办法》《</w:t>
      </w:r>
      <w:r>
        <w:rPr>
          <w:rFonts w:hint="eastAsia"/>
          <w:color w:val="auto"/>
          <w:highlight w:val="none"/>
          <w:lang w:eastAsia="zh-CN"/>
        </w:rPr>
        <w:t>和静县巴音布鲁克景区管理委员会</w:t>
      </w:r>
      <w:r>
        <w:rPr>
          <w:rFonts w:hint="eastAsia"/>
          <w:color w:val="auto"/>
          <w:highlight w:val="none"/>
        </w:rPr>
        <w:t>收支业务管理制度》《</w:t>
      </w:r>
      <w:r>
        <w:rPr>
          <w:rFonts w:hint="eastAsia"/>
          <w:color w:val="auto"/>
          <w:highlight w:val="none"/>
          <w:lang w:eastAsia="zh-CN"/>
        </w:rPr>
        <w:t>和静县巴音布鲁克景区管理委员会</w:t>
      </w:r>
      <w:r>
        <w:rPr>
          <w:rFonts w:hint="eastAsia"/>
          <w:color w:val="auto"/>
          <w:highlight w:val="none"/>
        </w:rPr>
        <w:t>政府采购业务管理制度》《</w:t>
      </w:r>
      <w:r>
        <w:rPr>
          <w:rFonts w:hint="eastAsia"/>
          <w:color w:val="auto"/>
          <w:highlight w:val="none"/>
          <w:lang w:eastAsia="zh-CN"/>
        </w:rPr>
        <w:t>和静县巴音布鲁克景区管理委员会</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CCAE6ED">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771D7D36">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D76E959">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和静县巴音布鲁克景区管理委员会</w:t>
      </w:r>
      <w:r>
        <w:rPr>
          <w:rFonts w:hint="eastAsia"/>
          <w:color w:val="auto"/>
          <w:highlight w:val="none"/>
        </w:rPr>
        <w:t>项目工作领导小组，由党组书记</w:t>
      </w:r>
      <w:r>
        <w:rPr>
          <w:rFonts w:hint="eastAsia"/>
          <w:color w:val="auto"/>
          <w:highlight w:val="none"/>
          <w:lang w:eastAsia="zh-CN"/>
        </w:rPr>
        <w:t>刘海龙</w:t>
      </w:r>
      <w:r>
        <w:rPr>
          <w:rFonts w:hint="eastAsia"/>
          <w:color w:val="auto"/>
          <w:highlight w:val="none"/>
        </w:rPr>
        <w:t>任组长，负责项目的组织工作；</w:t>
      </w:r>
      <w:r>
        <w:rPr>
          <w:rFonts w:hint="eastAsia"/>
          <w:color w:val="auto"/>
          <w:highlight w:val="none"/>
          <w:lang w:eastAsia="zh-CN"/>
        </w:rPr>
        <w:t>巴图包力德</w:t>
      </w:r>
      <w:r>
        <w:rPr>
          <w:rFonts w:hint="eastAsia"/>
          <w:color w:val="auto"/>
          <w:highlight w:val="none"/>
        </w:rPr>
        <w:t>任副组长，负责项目的实施工作；组员包括：</w:t>
      </w:r>
      <w:r>
        <w:rPr>
          <w:rFonts w:hint="eastAsia"/>
          <w:color w:val="auto"/>
          <w:highlight w:val="none"/>
          <w:lang w:eastAsia="zh-CN"/>
        </w:rPr>
        <w:t>付丽娜</w:t>
      </w:r>
      <w:r>
        <w:rPr>
          <w:rFonts w:hint="eastAsia"/>
          <w:color w:val="auto"/>
          <w:highlight w:val="none"/>
        </w:rPr>
        <w:t>和</w:t>
      </w:r>
      <w:r>
        <w:rPr>
          <w:rFonts w:hint="eastAsia"/>
          <w:color w:val="auto"/>
          <w:highlight w:val="none"/>
          <w:lang w:eastAsia="zh-CN"/>
        </w:rPr>
        <w:t>苏布松才次克</w:t>
      </w:r>
      <w:r>
        <w:rPr>
          <w:rFonts w:hint="eastAsia"/>
          <w:color w:val="auto"/>
          <w:highlight w:val="none"/>
        </w:rPr>
        <w:t>，主要负责项目监督管理、验收以及资金核拨等工作。项目调整及支出调整手续完备；项目合同书、验收报告、技术鉴定等资料齐全并及时归档；项目实施的人员条件、场地设备、信息支撑等落实到位。</w:t>
      </w:r>
    </w:p>
    <w:p w14:paraId="2977DCC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0592757C">
      <w:pPr>
        <w:pStyle w:val="4"/>
        <w:ind w:left="560" w:leftChars="200" w:firstLine="0" w:firstLineChars="0"/>
        <w:rPr>
          <w:color w:val="auto"/>
          <w:highlight w:val="none"/>
        </w:rPr>
      </w:pPr>
      <w:r>
        <w:rPr>
          <w:rFonts w:hint="eastAsia"/>
          <w:color w:val="auto"/>
          <w:highlight w:val="none"/>
        </w:rPr>
        <w:t>（三）项目产出情况</w:t>
      </w:r>
    </w:p>
    <w:p w14:paraId="64E6E3D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A321316">
      <w:pPr>
        <w:pStyle w:val="2"/>
        <w:ind w:firstLine="562"/>
        <w:rPr>
          <w:color w:val="auto"/>
          <w:highlight w:val="none"/>
        </w:rPr>
      </w:pPr>
      <w:r>
        <w:rPr>
          <w:rFonts w:hint="eastAsia"/>
          <w:color w:val="auto"/>
          <w:highlight w:val="none"/>
        </w:rPr>
        <w:t>1.数量指标完成情况分析</w:t>
      </w:r>
    </w:p>
    <w:p w14:paraId="65257F97">
      <w:pPr>
        <w:pStyle w:val="7"/>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（六个新景点）配套附属设施建设项目林草补偿</w:t>
      </w:r>
      <w:r>
        <w:rPr>
          <w:rFonts w:hint="eastAsia"/>
          <w:color w:val="auto"/>
          <w:highlight w:val="none"/>
          <w:lang w:eastAsia="zh-CN"/>
        </w:rPr>
        <w:t>”指标</w:t>
      </w:r>
      <w:r>
        <w:rPr>
          <w:rFonts w:hint="eastAsia"/>
          <w:color w:val="auto"/>
          <w:highlight w:val="none"/>
        </w:rPr>
        <w:t>:预期指标值为≥1个，实际完成值为</w:t>
      </w:r>
      <w:r>
        <w:rPr>
          <w:rFonts w:hint="eastAsia"/>
          <w:color w:val="auto"/>
          <w:highlight w:val="none"/>
          <w:lang w:val="en-US" w:eastAsia="zh-CN"/>
        </w:rPr>
        <w:t>=</w:t>
      </w:r>
      <w:r>
        <w:rPr>
          <w:rFonts w:hint="eastAsia"/>
          <w:color w:val="auto"/>
          <w:highlight w:val="none"/>
        </w:rPr>
        <w:t>1个,指标完成率为1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83ED59D">
      <w:pPr>
        <w:pStyle w:val="7"/>
        <w:rPr>
          <w:rFonts w:hint="eastAsia"/>
          <w:color w:val="auto"/>
          <w:highlight w:val="none"/>
        </w:rPr>
      </w:pPr>
      <w:r>
        <w:rPr>
          <w:rFonts w:hint="eastAsia"/>
          <w:color w:val="auto"/>
          <w:highlight w:val="none"/>
          <w:lang w:eastAsia="zh-CN"/>
        </w:rPr>
        <w:t>“</w:t>
      </w:r>
      <w:r>
        <w:rPr>
          <w:rFonts w:hint="eastAsia"/>
          <w:color w:val="auto"/>
          <w:highlight w:val="none"/>
        </w:rPr>
        <w:t>全域旅游二期林草补偿</w:t>
      </w:r>
      <w:r>
        <w:rPr>
          <w:rFonts w:hint="eastAsia"/>
          <w:color w:val="auto"/>
          <w:highlight w:val="none"/>
          <w:lang w:eastAsia="zh-CN"/>
        </w:rPr>
        <w:t>”指标</w:t>
      </w:r>
      <w:r>
        <w:rPr>
          <w:rFonts w:hint="eastAsia"/>
          <w:color w:val="auto"/>
          <w:highlight w:val="none"/>
        </w:rPr>
        <w:t>:预期指标值为≥1</w:t>
      </w:r>
      <w:r>
        <w:rPr>
          <w:rFonts w:hint="eastAsia"/>
          <w:color w:val="auto"/>
          <w:highlight w:val="none"/>
          <w:lang w:eastAsia="zh-CN"/>
        </w:rPr>
        <w:t>个</w:t>
      </w:r>
      <w:r>
        <w:rPr>
          <w:rFonts w:hint="eastAsia"/>
          <w:color w:val="auto"/>
          <w:highlight w:val="none"/>
        </w:rPr>
        <w:t>，实际完成值</w:t>
      </w:r>
      <w:r>
        <w:rPr>
          <w:rFonts w:hint="eastAsia"/>
          <w:color w:val="auto"/>
          <w:highlight w:val="none"/>
          <w:lang w:val="en-US" w:eastAsia="zh-CN"/>
        </w:rPr>
        <w:t>=</w:t>
      </w:r>
      <w:r>
        <w:rPr>
          <w:rFonts w:hint="eastAsia"/>
          <w:color w:val="auto"/>
          <w:highlight w:val="none"/>
        </w:rPr>
        <w:t>1个,指标完成率为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459B8DD">
      <w:pPr>
        <w:pStyle w:val="7"/>
        <w:rPr>
          <w:rFonts w:hint="eastAsia"/>
          <w:color w:val="auto"/>
          <w:highlight w:val="none"/>
        </w:rPr>
      </w:pPr>
      <w:r>
        <w:rPr>
          <w:rFonts w:hint="eastAsia"/>
          <w:color w:val="auto"/>
          <w:highlight w:val="none"/>
          <w:lang w:eastAsia="zh-CN"/>
        </w:rPr>
        <w:t>“</w:t>
      </w:r>
      <w:r>
        <w:rPr>
          <w:rFonts w:hint="eastAsia"/>
          <w:color w:val="auto"/>
          <w:highlight w:val="none"/>
        </w:rPr>
        <w:t>其他前期费用</w:t>
      </w:r>
      <w:r>
        <w:rPr>
          <w:rFonts w:hint="eastAsia"/>
          <w:color w:val="auto"/>
          <w:highlight w:val="none"/>
          <w:lang w:eastAsia="zh-CN"/>
        </w:rPr>
        <w:t>”指标</w:t>
      </w:r>
      <w:r>
        <w:rPr>
          <w:rFonts w:hint="eastAsia"/>
          <w:color w:val="auto"/>
          <w:highlight w:val="none"/>
        </w:rPr>
        <w:t>:预期指标值为≥1个，实际完成值为=1</w:t>
      </w:r>
      <w:r>
        <w:rPr>
          <w:rFonts w:hint="eastAsia"/>
          <w:color w:val="auto"/>
          <w:highlight w:val="none"/>
          <w:lang w:eastAsia="zh-CN"/>
        </w:rPr>
        <w:t>个</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5E43CE1">
      <w:pPr>
        <w:pStyle w:val="2"/>
        <w:ind w:firstLine="562"/>
        <w:rPr>
          <w:color w:val="auto"/>
          <w:highlight w:val="none"/>
        </w:rPr>
      </w:pPr>
      <w:r>
        <w:rPr>
          <w:rFonts w:hint="eastAsia"/>
          <w:color w:val="auto"/>
          <w:highlight w:val="none"/>
        </w:rPr>
        <w:t>2.质量指标完成情况分析</w:t>
      </w:r>
    </w:p>
    <w:p w14:paraId="6BA02083">
      <w:pPr>
        <w:ind w:firstLine="560"/>
        <w:rPr>
          <w:rFonts w:hint="eastAsia"/>
          <w:color w:val="auto"/>
          <w:highlight w:val="none"/>
        </w:rPr>
      </w:pPr>
      <w:r>
        <w:rPr>
          <w:rFonts w:hint="eastAsia"/>
          <w:color w:val="auto"/>
          <w:highlight w:val="none"/>
        </w:rPr>
        <w:t>“项目完成合格率”指标：预期指标值为≥95%，实际完成指标值为95%，指标完成率为=100%，偏差率</w:t>
      </w:r>
      <w:r>
        <w:rPr>
          <w:rFonts w:hint="eastAsia"/>
          <w:color w:val="auto"/>
          <w:highlight w:val="none"/>
          <w:lang w:val="en-US" w:eastAsia="zh-CN"/>
        </w:rPr>
        <w:t>0</w:t>
      </w:r>
      <w:r>
        <w:rPr>
          <w:rFonts w:hint="eastAsia"/>
          <w:color w:val="auto"/>
          <w:highlight w:val="none"/>
        </w:rPr>
        <w:t>%。</w:t>
      </w:r>
    </w:p>
    <w:p w14:paraId="7A32BE67">
      <w:pPr>
        <w:pStyle w:val="2"/>
        <w:ind w:firstLine="562"/>
        <w:rPr>
          <w:color w:val="auto"/>
          <w:highlight w:val="none"/>
        </w:rPr>
      </w:pPr>
      <w:r>
        <w:rPr>
          <w:rFonts w:hint="eastAsia"/>
          <w:color w:val="auto"/>
          <w:highlight w:val="none"/>
        </w:rPr>
        <w:t>3.时效指标完成情况分析</w:t>
      </w:r>
    </w:p>
    <w:p w14:paraId="0F53A4A9">
      <w:pPr>
        <w:ind w:firstLine="560"/>
        <w:rPr>
          <w:rFonts w:hint="eastAsia"/>
          <w:color w:val="auto"/>
          <w:highlight w:val="none"/>
        </w:rPr>
      </w:pPr>
      <w:r>
        <w:rPr>
          <w:rFonts w:hint="eastAsia"/>
          <w:color w:val="auto"/>
          <w:highlight w:val="none"/>
        </w:rPr>
        <w:t>“项目任务按期完成率”指标：预期指标值为≥95%，实际完成指标值为95%，指标完成率为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8A0A1E8">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10F30726">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78D5D9C">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711B338">
      <w:pPr>
        <w:ind w:firstLine="560"/>
        <w:rPr>
          <w:rFonts w:hint="default" w:eastAsia="仿宋_GB2312"/>
          <w:color w:val="auto"/>
          <w:highlight w:val="none"/>
          <w:lang w:val="en-US" w:eastAsia="zh-CN"/>
        </w:rPr>
      </w:pPr>
      <w:r>
        <w:rPr>
          <w:rFonts w:hint="eastAsia"/>
          <w:color w:val="auto"/>
          <w:highlight w:val="none"/>
        </w:rPr>
        <w:t>“（六个新景点）配套附属设施建设项目林草补偿”指标：预期指标值为≤234.6万元，实际完成指标值为</w:t>
      </w:r>
      <w:r>
        <w:rPr>
          <w:rFonts w:hint="eastAsia"/>
          <w:color w:val="auto"/>
          <w:highlight w:val="none"/>
          <w:lang w:val="en-US" w:eastAsia="zh-CN"/>
        </w:rPr>
        <w:t>≤234.6万元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798C0EF0">
      <w:pPr>
        <w:ind w:firstLine="560"/>
        <w:rPr>
          <w:rFonts w:hint="eastAsia"/>
          <w:color w:val="auto"/>
          <w:highlight w:val="none"/>
          <w:lang w:val="en-US" w:eastAsia="zh-CN"/>
        </w:rPr>
      </w:pPr>
      <w:r>
        <w:rPr>
          <w:rFonts w:hint="eastAsia"/>
          <w:color w:val="auto"/>
          <w:highlight w:val="none"/>
          <w:lang w:eastAsia="zh-CN"/>
        </w:rPr>
        <w:t>“全域旅游二期林草补偿”指标：预期指标值为≤220.47万元，实际完成指标值为</w:t>
      </w:r>
      <w:r>
        <w:rPr>
          <w:rFonts w:hint="eastAsia"/>
          <w:color w:val="auto"/>
          <w:highlight w:val="none"/>
          <w:lang w:val="en-US" w:eastAsia="zh-CN"/>
        </w:rPr>
        <w:t>=220.47万元，</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2AF526C2">
      <w:pPr>
        <w:ind w:firstLine="560"/>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w:t>
      </w:r>
      <w:r>
        <w:rPr>
          <w:rFonts w:hint="default" w:ascii="仿宋_GB2312" w:hAnsi="仿宋_GB2312" w:eastAsia="仿宋_GB2312" w:cs="Times New Roman"/>
          <w:b w:val="0"/>
          <w:bCs w:val="0"/>
          <w:color w:val="auto"/>
          <w:kern w:val="2"/>
          <w:sz w:val="28"/>
          <w:szCs w:val="24"/>
          <w:highlight w:val="none"/>
          <w:lang w:val="en-US" w:eastAsia="zh-CN" w:bidi="ar-SA"/>
        </w:rPr>
        <w:t>其他前期费用</w:t>
      </w:r>
      <w:r>
        <w:rPr>
          <w:rFonts w:hint="eastAsia" w:cs="Times New Roman"/>
          <w:b w:val="0"/>
          <w:bCs w:val="0"/>
          <w:color w:val="auto"/>
          <w:kern w:val="2"/>
          <w:sz w:val="28"/>
          <w:szCs w:val="24"/>
          <w:highlight w:val="none"/>
          <w:lang w:val="en-US" w:eastAsia="zh-CN" w:bidi="ar-SA"/>
        </w:rPr>
        <w:t>”指标：预期指标值为≤144.93万元，实际完成指标值为=144.93万元，</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14:paraId="1168D974">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FBF9A1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CCC79C2">
      <w:pPr>
        <w:pStyle w:val="2"/>
        <w:ind w:firstLine="562"/>
        <w:rPr>
          <w:color w:val="auto"/>
          <w:highlight w:val="none"/>
        </w:rPr>
      </w:pPr>
      <w:r>
        <w:rPr>
          <w:rFonts w:hint="eastAsia"/>
          <w:color w:val="auto"/>
          <w:highlight w:val="none"/>
        </w:rPr>
        <w:t>1.经济效益完成情况分析</w:t>
      </w:r>
    </w:p>
    <w:p w14:paraId="4E598995">
      <w:pPr>
        <w:ind w:firstLine="560"/>
        <w:rPr>
          <w:rFonts w:hint="eastAsia"/>
          <w:color w:val="auto"/>
          <w:highlight w:val="none"/>
        </w:rPr>
      </w:pPr>
      <w:r>
        <w:rPr>
          <w:rFonts w:hint="eastAsia"/>
          <w:color w:val="auto"/>
          <w:highlight w:val="none"/>
        </w:rPr>
        <w:t>“带动景区收入增长率”指标：预期指标值为≥</w:t>
      </w:r>
      <w:r>
        <w:rPr>
          <w:rFonts w:hint="eastAsia"/>
          <w:color w:val="auto"/>
          <w:highlight w:val="none"/>
          <w:lang w:val="en-US" w:eastAsia="zh-CN"/>
        </w:rPr>
        <w:t>2</w:t>
      </w:r>
      <w:r>
        <w:rPr>
          <w:rFonts w:hint="eastAsia"/>
          <w:color w:val="auto"/>
          <w:highlight w:val="none"/>
        </w:rPr>
        <w:t>%，实际完成指标值为</w:t>
      </w:r>
      <w:r>
        <w:rPr>
          <w:rFonts w:hint="eastAsia"/>
          <w:color w:val="auto"/>
          <w:highlight w:val="none"/>
          <w:lang w:val="en-US" w:eastAsia="zh-CN"/>
        </w:rPr>
        <w:t>10.94</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246A02E">
      <w:pPr>
        <w:pStyle w:val="2"/>
        <w:ind w:firstLine="562"/>
        <w:rPr>
          <w:color w:val="auto"/>
          <w:highlight w:val="none"/>
        </w:rPr>
      </w:pPr>
      <w:r>
        <w:rPr>
          <w:rFonts w:hint="eastAsia"/>
          <w:color w:val="auto"/>
          <w:highlight w:val="none"/>
        </w:rPr>
        <w:t>2.社会效益完成情况分析</w:t>
      </w:r>
    </w:p>
    <w:p w14:paraId="21F22452">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“提升景区知名度及景区影响，方便游客游玩”指标：预期指标值为有效促进，实际完成指标值为达成目标，指标完成率为100%，偏差率0%。</w:t>
      </w:r>
    </w:p>
    <w:p w14:paraId="7B2D333A">
      <w:pPr>
        <w:pStyle w:val="2"/>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302A3E6E">
      <w:pPr>
        <w:ind w:firstLine="560"/>
        <w:rPr>
          <w:rFonts w:hint="eastAsia"/>
          <w:color w:val="auto"/>
          <w:highlight w:val="none"/>
        </w:rPr>
      </w:pPr>
      <w:r>
        <w:rPr>
          <w:rFonts w:hint="eastAsia"/>
          <w:color w:val="auto"/>
          <w:highlight w:val="none"/>
        </w:rPr>
        <w:t>“游客满意度”指标：预期指标值为≥9</w:t>
      </w:r>
      <w:r>
        <w:rPr>
          <w:rFonts w:hint="eastAsia"/>
          <w:color w:val="auto"/>
          <w:highlight w:val="none"/>
          <w:lang w:val="en-US" w:eastAsia="zh-CN"/>
        </w:rPr>
        <w:t>5</w:t>
      </w:r>
      <w:r>
        <w:rPr>
          <w:rFonts w:hint="eastAsia"/>
          <w:color w:val="auto"/>
          <w:highlight w:val="none"/>
        </w:rPr>
        <w:t>%，实际完成指标值为9</w:t>
      </w:r>
      <w:r>
        <w:rPr>
          <w:rFonts w:hint="eastAsia"/>
          <w:color w:val="auto"/>
          <w:highlight w:val="none"/>
          <w:lang w:val="en-US" w:eastAsia="zh-CN"/>
        </w:rPr>
        <w:t>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6E80ED8">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306173B">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600万元，全年预算数为600万元，全年执行数为600万元，预算执行率为100%。</w:t>
      </w:r>
    </w:p>
    <w:p w14:paraId="08DACF44">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76D27B28">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7D66FE5">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8810DB5">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7AF146D5">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14:paraId="2658C6E2">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20FFCE4C">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三是健全项目管理制度。我单位根据</w:t>
      </w:r>
      <w:r>
        <w:rPr>
          <w:rFonts w:hint="eastAsia" w:ascii="仿宋" w:hAnsi="仿宋" w:eastAsia="仿宋" w:cs="仿宋"/>
          <w:b w:val="0"/>
          <w:bCs/>
          <w:color w:val="auto"/>
          <w:sz w:val="28"/>
          <w:szCs w:val="28"/>
          <w:highlight w:val="none"/>
          <w:lang w:val="en-US" w:eastAsia="zh-CN"/>
        </w:rPr>
        <w:t>相关法律、法</w:t>
      </w:r>
      <w:r>
        <w:rPr>
          <w:rFonts w:hint="eastAsia" w:ascii="仿宋" w:hAnsi="仿宋" w:eastAsia="仿宋" w:cs="仿宋"/>
          <w:color w:val="auto"/>
          <w:highlight w:val="none"/>
          <w:lang w:val="en-US" w:eastAsia="zh-CN"/>
        </w:rPr>
        <w:t>规、政策及行业发展规划，符合国家法律法规和相关政策已有保证项目实施的制度、措施等。</w:t>
      </w:r>
    </w:p>
    <w:p w14:paraId="3B49E87C">
      <w:pPr>
        <w:pStyle w:val="4"/>
        <w:numPr>
          <w:ilvl w:val="0"/>
          <w:numId w:val="4"/>
        </w:numPr>
        <w:ind w:firstLine="643"/>
        <w:rPr>
          <w:color w:val="auto"/>
          <w:highlight w:val="none"/>
        </w:rPr>
      </w:pPr>
      <w:r>
        <w:rPr>
          <w:rFonts w:hint="eastAsia"/>
          <w:color w:val="auto"/>
          <w:highlight w:val="none"/>
        </w:rPr>
        <w:t>存在的问题及原因分析</w:t>
      </w:r>
    </w:p>
    <w:p w14:paraId="79AB9258">
      <w:pPr>
        <w:pStyle w:val="3"/>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5D21D9A8">
      <w:pPr>
        <w:pStyle w:val="3"/>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7516B090">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3DDE374D">
      <w:pPr>
        <w:pStyle w:val="21"/>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5295B248">
      <w:pPr>
        <w:tabs>
          <w:tab w:val="left" w:pos="757"/>
        </w:tabs>
        <w:bidi w:val="0"/>
        <w:jc w:val="left"/>
        <w:rPr>
          <w:color w:val="auto"/>
          <w:highlight w:val="none"/>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4FE7A589">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B087218">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EA3B4DE">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10F7062">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00BB93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2AF248D">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604206C">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E8D351C">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3BA1FD6C">
      <w:pPr>
        <w:ind w:firstLine="560"/>
        <w:rPr>
          <w:color w:val="auto"/>
          <w:highlight w:val="none"/>
        </w:rPr>
      </w:pPr>
      <w:r>
        <w:rPr>
          <w:rFonts w:hint="eastAsia"/>
          <w:color w:val="auto"/>
          <w:highlight w:val="none"/>
          <w:lang w:val="en-US" w:eastAsia="zh-CN"/>
        </w:rPr>
        <w:t>附件1：项目支出绩效评价绩效评价体系</w:t>
      </w:r>
    </w:p>
    <w:p w14:paraId="1A9A7A3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979D111">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4B24D">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9EB72">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7538F">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7B5F2">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1A1453">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91A1453">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CE65">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9A833">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A504D">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5E0AA6"/>
    <w:rsid w:val="00885A15"/>
    <w:rsid w:val="00A43D0F"/>
    <w:rsid w:val="00A83364"/>
    <w:rsid w:val="00DA0BA5"/>
    <w:rsid w:val="00E01AC9"/>
    <w:rsid w:val="00EC4605"/>
    <w:rsid w:val="00F37FCB"/>
    <w:rsid w:val="00F77FAE"/>
    <w:rsid w:val="00FB5B81"/>
    <w:rsid w:val="00FE2E85"/>
    <w:rsid w:val="01017684"/>
    <w:rsid w:val="01210E75"/>
    <w:rsid w:val="015679D0"/>
    <w:rsid w:val="01843A67"/>
    <w:rsid w:val="01E925F2"/>
    <w:rsid w:val="02105DD0"/>
    <w:rsid w:val="03BB00BF"/>
    <w:rsid w:val="04363AE8"/>
    <w:rsid w:val="04FF572D"/>
    <w:rsid w:val="05FA56A9"/>
    <w:rsid w:val="063962D2"/>
    <w:rsid w:val="066F70AA"/>
    <w:rsid w:val="0671705A"/>
    <w:rsid w:val="06AD62E4"/>
    <w:rsid w:val="06E57248"/>
    <w:rsid w:val="0708351A"/>
    <w:rsid w:val="073F31BC"/>
    <w:rsid w:val="07953013"/>
    <w:rsid w:val="07A9288A"/>
    <w:rsid w:val="08744BDF"/>
    <w:rsid w:val="0946740A"/>
    <w:rsid w:val="09944CF1"/>
    <w:rsid w:val="099D6902"/>
    <w:rsid w:val="0A310FDA"/>
    <w:rsid w:val="0A357536"/>
    <w:rsid w:val="0A401CF1"/>
    <w:rsid w:val="0AAE579F"/>
    <w:rsid w:val="0AD64679"/>
    <w:rsid w:val="0C23462A"/>
    <w:rsid w:val="0C88659A"/>
    <w:rsid w:val="0CB12375"/>
    <w:rsid w:val="0CD50699"/>
    <w:rsid w:val="0D537DC9"/>
    <w:rsid w:val="0D7C657D"/>
    <w:rsid w:val="0D885E3E"/>
    <w:rsid w:val="0DAE2941"/>
    <w:rsid w:val="0DB04DE7"/>
    <w:rsid w:val="0DB13246"/>
    <w:rsid w:val="0E124C7E"/>
    <w:rsid w:val="0E342E47"/>
    <w:rsid w:val="0E5451B9"/>
    <w:rsid w:val="0E5B0A92"/>
    <w:rsid w:val="0E760F4E"/>
    <w:rsid w:val="0F9F0794"/>
    <w:rsid w:val="0FD82DB5"/>
    <w:rsid w:val="105552F6"/>
    <w:rsid w:val="10A04E3C"/>
    <w:rsid w:val="10B0675A"/>
    <w:rsid w:val="10BC5375"/>
    <w:rsid w:val="10BC7AE9"/>
    <w:rsid w:val="10C1473A"/>
    <w:rsid w:val="1103023A"/>
    <w:rsid w:val="112F3D99"/>
    <w:rsid w:val="118C0775"/>
    <w:rsid w:val="128D0D77"/>
    <w:rsid w:val="12F1313F"/>
    <w:rsid w:val="142B2443"/>
    <w:rsid w:val="144302DE"/>
    <w:rsid w:val="146B158C"/>
    <w:rsid w:val="150F1F7D"/>
    <w:rsid w:val="15B60378"/>
    <w:rsid w:val="1609105D"/>
    <w:rsid w:val="17984446"/>
    <w:rsid w:val="17AF7810"/>
    <w:rsid w:val="182C2DE0"/>
    <w:rsid w:val="187D188E"/>
    <w:rsid w:val="18E611E1"/>
    <w:rsid w:val="191C2E55"/>
    <w:rsid w:val="19502AFF"/>
    <w:rsid w:val="1974548F"/>
    <w:rsid w:val="19C3137D"/>
    <w:rsid w:val="1A002E18"/>
    <w:rsid w:val="1A041D47"/>
    <w:rsid w:val="1A8D38F0"/>
    <w:rsid w:val="1AA66E7A"/>
    <w:rsid w:val="1AC01459"/>
    <w:rsid w:val="1AEB2ADF"/>
    <w:rsid w:val="1BEA0FE8"/>
    <w:rsid w:val="1C055E22"/>
    <w:rsid w:val="1C4A596B"/>
    <w:rsid w:val="1C4D288C"/>
    <w:rsid w:val="1C6C7C4F"/>
    <w:rsid w:val="1C8C6544"/>
    <w:rsid w:val="1D491D3F"/>
    <w:rsid w:val="1DD40180"/>
    <w:rsid w:val="1E0A5972"/>
    <w:rsid w:val="1E4D585F"/>
    <w:rsid w:val="1E56053E"/>
    <w:rsid w:val="1E761259"/>
    <w:rsid w:val="1FDC50EC"/>
    <w:rsid w:val="20A2086D"/>
    <w:rsid w:val="20A32962"/>
    <w:rsid w:val="20B21A37"/>
    <w:rsid w:val="20C242E2"/>
    <w:rsid w:val="21817779"/>
    <w:rsid w:val="218B6DCA"/>
    <w:rsid w:val="21A41209"/>
    <w:rsid w:val="222E2BCD"/>
    <w:rsid w:val="223C37A0"/>
    <w:rsid w:val="22B30804"/>
    <w:rsid w:val="22CA3922"/>
    <w:rsid w:val="231A0504"/>
    <w:rsid w:val="23C93BD9"/>
    <w:rsid w:val="24414F4B"/>
    <w:rsid w:val="245E1E24"/>
    <w:rsid w:val="247104F9"/>
    <w:rsid w:val="24BE1264"/>
    <w:rsid w:val="24F22093"/>
    <w:rsid w:val="25317C88"/>
    <w:rsid w:val="25585215"/>
    <w:rsid w:val="256845EA"/>
    <w:rsid w:val="25903C65"/>
    <w:rsid w:val="25A91CF5"/>
    <w:rsid w:val="266E2885"/>
    <w:rsid w:val="268A58A2"/>
    <w:rsid w:val="26B66697"/>
    <w:rsid w:val="26EF3957"/>
    <w:rsid w:val="27840543"/>
    <w:rsid w:val="279D1605"/>
    <w:rsid w:val="28212236"/>
    <w:rsid w:val="283A6E54"/>
    <w:rsid w:val="289879A1"/>
    <w:rsid w:val="28A61969"/>
    <w:rsid w:val="28E60D8A"/>
    <w:rsid w:val="29492A99"/>
    <w:rsid w:val="299A65B6"/>
    <w:rsid w:val="29C05630"/>
    <w:rsid w:val="2A053F0F"/>
    <w:rsid w:val="2A0C569A"/>
    <w:rsid w:val="2A5C3075"/>
    <w:rsid w:val="2B1F5779"/>
    <w:rsid w:val="2C103347"/>
    <w:rsid w:val="2CBF3DCB"/>
    <w:rsid w:val="2DC37189"/>
    <w:rsid w:val="2DF41FF9"/>
    <w:rsid w:val="2DFA2E97"/>
    <w:rsid w:val="2E483E7E"/>
    <w:rsid w:val="2E772BB0"/>
    <w:rsid w:val="2EED2E72"/>
    <w:rsid w:val="2F106B60"/>
    <w:rsid w:val="2FCE2953"/>
    <w:rsid w:val="2FDE37A9"/>
    <w:rsid w:val="2FF344B8"/>
    <w:rsid w:val="30055F99"/>
    <w:rsid w:val="300F0BC6"/>
    <w:rsid w:val="306A22A0"/>
    <w:rsid w:val="31335315"/>
    <w:rsid w:val="315B7BD0"/>
    <w:rsid w:val="319C46DB"/>
    <w:rsid w:val="325B6344"/>
    <w:rsid w:val="326C67A3"/>
    <w:rsid w:val="327D275F"/>
    <w:rsid w:val="332F7DDD"/>
    <w:rsid w:val="336344ED"/>
    <w:rsid w:val="33944516"/>
    <w:rsid w:val="33F95E15"/>
    <w:rsid w:val="33FE342B"/>
    <w:rsid w:val="341F0C05"/>
    <w:rsid w:val="348C4EDB"/>
    <w:rsid w:val="34941E5B"/>
    <w:rsid w:val="3522787D"/>
    <w:rsid w:val="35EB5C31"/>
    <w:rsid w:val="35FE5252"/>
    <w:rsid w:val="360A6620"/>
    <w:rsid w:val="36185B49"/>
    <w:rsid w:val="367774C5"/>
    <w:rsid w:val="368340BC"/>
    <w:rsid w:val="36DF7544"/>
    <w:rsid w:val="37841E99"/>
    <w:rsid w:val="379F4CA9"/>
    <w:rsid w:val="386532D8"/>
    <w:rsid w:val="38CC7587"/>
    <w:rsid w:val="38E30E42"/>
    <w:rsid w:val="39367615"/>
    <w:rsid w:val="394713D0"/>
    <w:rsid w:val="39537D75"/>
    <w:rsid w:val="396C7089"/>
    <w:rsid w:val="39B8085B"/>
    <w:rsid w:val="39C40C73"/>
    <w:rsid w:val="39CB3764"/>
    <w:rsid w:val="3A2B0E75"/>
    <w:rsid w:val="3A712BA9"/>
    <w:rsid w:val="3A8B235A"/>
    <w:rsid w:val="3B357D0D"/>
    <w:rsid w:val="3B3856B5"/>
    <w:rsid w:val="3B7346FF"/>
    <w:rsid w:val="3BB84807"/>
    <w:rsid w:val="3BF1216E"/>
    <w:rsid w:val="3C406CD7"/>
    <w:rsid w:val="3C494A2A"/>
    <w:rsid w:val="3C9E1AD1"/>
    <w:rsid w:val="3CA628B2"/>
    <w:rsid w:val="3D8C1AA8"/>
    <w:rsid w:val="3E04329F"/>
    <w:rsid w:val="3E0755D2"/>
    <w:rsid w:val="3E2E7003"/>
    <w:rsid w:val="3ED454B4"/>
    <w:rsid w:val="3F916DAD"/>
    <w:rsid w:val="402112BD"/>
    <w:rsid w:val="40510038"/>
    <w:rsid w:val="406416C5"/>
    <w:rsid w:val="412F3D4F"/>
    <w:rsid w:val="413E2617"/>
    <w:rsid w:val="426D5922"/>
    <w:rsid w:val="42FF61BD"/>
    <w:rsid w:val="43C31F9B"/>
    <w:rsid w:val="43C95804"/>
    <w:rsid w:val="43D877F5"/>
    <w:rsid w:val="43EE7018"/>
    <w:rsid w:val="4453331F"/>
    <w:rsid w:val="446A2417"/>
    <w:rsid w:val="451505D5"/>
    <w:rsid w:val="453453BA"/>
    <w:rsid w:val="45BE0FCC"/>
    <w:rsid w:val="46D771B4"/>
    <w:rsid w:val="471072A6"/>
    <w:rsid w:val="47152B0E"/>
    <w:rsid w:val="473D2566"/>
    <w:rsid w:val="480956EA"/>
    <w:rsid w:val="480D1A37"/>
    <w:rsid w:val="49DF11B1"/>
    <w:rsid w:val="4A94466D"/>
    <w:rsid w:val="4A996944"/>
    <w:rsid w:val="4ABC1315"/>
    <w:rsid w:val="4B545786"/>
    <w:rsid w:val="4B6127C6"/>
    <w:rsid w:val="4BB5666E"/>
    <w:rsid w:val="4C0A4C0B"/>
    <w:rsid w:val="4C2A5EF5"/>
    <w:rsid w:val="4C3216AC"/>
    <w:rsid w:val="4C621A18"/>
    <w:rsid w:val="4CBB6940"/>
    <w:rsid w:val="4CD27077"/>
    <w:rsid w:val="4D04165B"/>
    <w:rsid w:val="4D600BD3"/>
    <w:rsid w:val="4DAB41CC"/>
    <w:rsid w:val="4DCD7C9F"/>
    <w:rsid w:val="4DF25957"/>
    <w:rsid w:val="4E190CBC"/>
    <w:rsid w:val="4E2F6BAB"/>
    <w:rsid w:val="4E4A6D47"/>
    <w:rsid w:val="4EC15329"/>
    <w:rsid w:val="4EE47996"/>
    <w:rsid w:val="4F733A2D"/>
    <w:rsid w:val="4FB67747"/>
    <w:rsid w:val="4FD56C07"/>
    <w:rsid w:val="4FFC486B"/>
    <w:rsid w:val="500656EA"/>
    <w:rsid w:val="502F4C40"/>
    <w:rsid w:val="50AB7F10"/>
    <w:rsid w:val="511FF2A1"/>
    <w:rsid w:val="51210982"/>
    <w:rsid w:val="519A2EC0"/>
    <w:rsid w:val="51BB2087"/>
    <w:rsid w:val="51DA6DE7"/>
    <w:rsid w:val="52B07B8F"/>
    <w:rsid w:val="53AC0356"/>
    <w:rsid w:val="53C02053"/>
    <w:rsid w:val="53C720F6"/>
    <w:rsid w:val="53CA4C80"/>
    <w:rsid w:val="53D9704A"/>
    <w:rsid w:val="54890697"/>
    <w:rsid w:val="550F1330"/>
    <w:rsid w:val="55990DAE"/>
    <w:rsid w:val="55A5494A"/>
    <w:rsid w:val="55F6255F"/>
    <w:rsid w:val="56803BC3"/>
    <w:rsid w:val="56FC3593"/>
    <w:rsid w:val="56FD7960"/>
    <w:rsid w:val="571A78C0"/>
    <w:rsid w:val="57CD580E"/>
    <w:rsid w:val="58040B43"/>
    <w:rsid w:val="58346163"/>
    <w:rsid w:val="58BE2E58"/>
    <w:rsid w:val="58C919AA"/>
    <w:rsid w:val="592B105E"/>
    <w:rsid w:val="595C27DE"/>
    <w:rsid w:val="59A87812"/>
    <w:rsid w:val="59AD4E28"/>
    <w:rsid w:val="59C02DAD"/>
    <w:rsid w:val="5A7D47FA"/>
    <w:rsid w:val="5ACD7F18"/>
    <w:rsid w:val="5AE26D53"/>
    <w:rsid w:val="5AEE394A"/>
    <w:rsid w:val="5B104291"/>
    <w:rsid w:val="5B1433B1"/>
    <w:rsid w:val="5B175F2C"/>
    <w:rsid w:val="5BCF63A9"/>
    <w:rsid w:val="5BEC60DC"/>
    <w:rsid w:val="5C0731FC"/>
    <w:rsid w:val="5C441A74"/>
    <w:rsid w:val="5E002BBA"/>
    <w:rsid w:val="5E0A0A9B"/>
    <w:rsid w:val="5E5F0D5A"/>
    <w:rsid w:val="5E850121"/>
    <w:rsid w:val="5F9C5101"/>
    <w:rsid w:val="5FAD3ACF"/>
    <w:rsid w:val="5FBF1502"/>
    <w:rsid w:val="618129F7"/>
    <w:rsid w:val="62314848"/>
    <w:rsid w:val="62436329"/>
    <w:rsid w:val="626F3307"/>
    <w:rsid w:val="62912BFF"/>
    <w:rsid w:val="62D03794"/>
    <w:rsid w:val="62EE2619"/>
    <w:rsid w:val="638F4503"/>
    <w:rsid w:val="63F83144"/>
    <w:rsid w:val="64534823"/>
    <w:rsid w:val="64DD4813"/>
    <w:rsid w:val="653A5570"/>
    <w:rsid w:val="65516FAF"/>
    <w:rsid w:val="658D4B95"/>
    <w:rsid w:val="66044022"/>
    <w:rsid w:val="66886CF4"/>
    <w:rsid w:val="66DF08D7"/>
    <w:rsid w:val="66F91E37"/>
    <w:rsid w:val="67220C03"/>
    <w:rsid w:val="67F105D6"/>
    <w:rsid w:val="68150768"/>
    <w:rsid w:val="68291A1A"/>
    <w:rsid w:val="68AD66E9"/>
    <w:rsid w:val="68BB30BE"/>
    <w:rsid w:val="68CA77A4"/>
    <w:rsid w:val="691B1594"/>
    <w:rsid w:val="691B590A"/>
    <w:rsid w:val="699B2EEF"/>
    <w:rsid w:val="69A50B98"/>
    <w:rsid w:val="69BD5A21"/>
    <w:rsid w:val="69F06D97"/>
    <w:rsid w:val="6A3C022E"/>
    <w:rsid w:val="6A464C09"/>
    <w:rsid w:val="6A5F216E"/>
    <w:rsid w:val="6A667059"/>
    <w:rsid w:val="6ACE22AC"/>
    <w:rsid w:val="6C40252E"/>
    <w:rsid w:val="6C55253B"/>
    <w:rsid w:val="6CBD4F2A"/>
    <w:rsid w:val="6CBF6EF4"/>
    <w:rsid w:val="6D035033"/>
    <w:rsid w:val="6D521B17"/>
    <w:rsid w:val="6DC24345"/>
    <w:rsid w:val="6E3D76EB"/>
    <w:rsid w:val="6E777A87"/>
    <w:rsid w:val="6E845DDC"/>
    <w:rsid w:val="6F021CD7"/>
    <w:rsid w:val="6F0D6C22"/>
    <w:rsid w:val="6FD57E76"/>
    <w:rsid w:val="6FF06988"/>
    <w:rsid w:val="71801FA8"/>
    <w:rsid w:val="7229553C"/>
    <w:rsid w:val="725A6860"/>
    <w:rsid w:val="72B05F6E"/>
    <w:rsid w:val="72D27981"/>
    <w:rsid w:val="73614861"/>
    <w:rsid w:val="73905147"/>
    <w:rsid w:val="73F727AA"/>
    <w:rsid w:val="74192ACF"/>
    <w:rsid w:val="74370315"/>
    <w:rsid w:val="745A5E80"/>
    <w:rsid w:val="745F5557"/>
    <w:rsid w:val="74A476C9"/>
    <w:rsid w:val="74B60DFD"/>
    <w:rsid w:val="74E514C2"/>
    <w:rsid w:val="752E4C17"/>
    <w:rsid w:val="758D2695"/>
    <w:rsid w:val="75BF7F65"/>
    <w:rsid w:val="75CC5D59"/>
    <w:rsid w:val="764F3097"/>
    <w:rsid w:val="76516676"/>
    <w:rsid w:val="76C21ABB"/>
    <w:rsid w:val="76D2301A"/>
    <w:rsid w:val="774329A8"/>
    <w:rsid w:val="77861774"/>
    <w:rsid w:val="77C253BD"/>
    <w:rsid w:val="77CE4490"/>
    <w:rsid w:val="78774B27"/>
    <w:rsid w:val="79300B45"/>
    <w:rsid w:val="79974E0D"/>
    <w:rsid w:val="79A17504"/>
    <w:rsid w:val="79BF322E"/>
    <w:rsid w:val="79FF3433"/>
    <w:rsid w:val="7A421621"/>
    <w:rsid w:val="7A5A025C"/>
    <w:rsid w:val="7AB73395"/>
    <w:rsid w:val="7B383E27"/>
    <w:rsid w:val="7B686778"/>
    <w:rsid w:val="7B8A691F"/>
    <w:rsid w:val="7BCE4A5E"/>
    <w:rsid w:val="7C1C1C6D"/>
    <w:rsid w:val="7CD460A4"/>
    <w:rsid w:val="7E515AAE"/>
    <w:rsid w:val="7E617414"/>
    <w:rsid w:val="7EC259CB"/>
    <w:rsid w:val="7EF00832"/>
    <w:rsid w:val="7FD4460D"/>
    <w:rsid w:val="7FE0120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3"/>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paragraph" w:customStyle="1" w:styleId="20">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1">
    <w:name w:val="闻政正文"/>
    <w:basedOn w:val="1"/>
    <w:qFormat/>
    <w:uiPriority w:val="99"/>
    <w:pPr>
      <w:spacing w:line="500" w:lineRule="exact"/>
      <w:ind w:firstLine="883"/>
    </w:pPr>
    <w:rPr>
      <w:rFonts w:ascii="Times New Roman" w:hAnsi="Times New Roman"/>
      <w:kern w:val="0"/>
      <w:szCs w:val="28"/>
    </w:rPr>
  </w:style>
  <w:style w:type="paragraph" w:customStyle="1" w:styleId="22">
    <w:name w:val="闻政-正文段落文字"/>
    <w:basedOn w:val="1"/>
    <w:qFormat/>
    <w:uiPriority w:val="3"/>
    <w:pPr>
      <w:spacing w:line="500" w:lineRule="exact"/>
      <w:ind w:firstLine="200"/>
    </w:pPr>
    <w:rPr>
      <w:rFonts w:ascii="Times New Roman" w:hAnsi="Times New Roman"/>
      <w:kern w:val="0"/>
      <w:szCs w:val="28"/>
    </w:rPr>
  </w:style>
  <w:style w:type="character" w:customStyle="1" w:styleId="23">
    <w:name w:val="批注框文本 字符"/>
    <w:basedOn w:val="15"/>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12105</Words>
  <Characters>12625</Characters>
  <Lines>71</Lines>
  <Paragraphs>20</Paragraphs>
  <TotalTime>0</TotalTime>
  <ScaleCrop>false</ScaleCrop>
  <LinksUpToDate>false</LinksUpToDate>
  <CharactersWithSpaces>12629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2025-09-22T07:34:01Z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